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93F10" w:rsidRPr="00194AA6" w:rsidRDefault="00193F10" w:rsidP="00194AA6">
      <w:pPr>
        <w:jc w:val="center"/>
        <w:rPr>
          <w:sz w:val="22"/>
          <w:szCs w:val="22"/>
        </w:rPr>
      </w:pPr>
    </w:p>
    <w:p w:rsidR="00193F10" w:rsidRDefault="00F53408" w:rsidP="00194AA6">
      <w:pPr>
        <w:jc w:val="center"/>
      </w:pPr>
      <w:r>
        <w:rPr>
          <w:noProof/>
        </w:rPr>
        <w:drawing>
          <wp:inline distT="0" distB="0" distL="0" distR="0">
            <wp:extent cx="1714500" cy="1123950"/>
            <wp:effectExtent l="19050" t="0" r="0" b="0"/>
            <wp:docPr id="1" name="Picture 1" descr="dep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pcolor"/>
                    <pic:cNvPicPr>
                      <a:picLocks noChangeAspect="1" noChangeArrowheads="1"/>
                    </pic:cNvPicPr>
                  </pic:nvPicPr>
                  <pic:blipFill>
                    <a:blip r:embed="rId8" cstate="print"/>
                    <a:srcRect/>
                    <a:stretch>
                      <a:fillRect/>
                    </a:stretch>
                  </pic:blipFill>
                  <pic:spPr bwMode="auto">
                    <a:xfrm>
                      <a:off x="0" y="0"/>
                      <a:ext cx="1714500" cy="1123950"/>
                    </a:xfrm>
                    <a:prstGeom prst="rect">
                      <a:avLst/>
                    </a:prstGeom>
                    <a:noFill/>
                    <a:ln w="9525">
                      <a:noFill/>
                      <a:miter lim="800000"/>
                      <a:headEnd/>
                      <a:tailEnd/>
                    </a:ln>
                  </pic:spPr>
                </pic:pic>
              </a:graphicData>
            </a:graphic>
          </wp:inline>
        </w:drawing>
      </w:r>
    </w:p>
    <w:p w:rsidR="001771DC" w:rsidRPr="00194AA6" w:rsidRDefault="001771DC" w:rsidP="00194AA6">
      <w:pPr>
        <w:jc w:val="center"/>
        <w:rPr>
          <w:sz w:val="22"/>
          <w:szCs w:val="22"/>
        </w:rPr>
      </w:pPr>
    </w:p>
    <w:p w:rsidR="00193F10" w:rsidRPr="00194AA6" w:rsidRDefault="00193F10" w:rsidP="00194AA6">
      <w:pPr>
        <w:pStyle w:val="Heading3"/>
        <w:rPr>
          <w:b/>
          <w:sz w:val="22"/>
          <w:szCs w:val="22"/>
        </w:rPr>
      </w:pPr>
      <w:r w:rsidRPr="00194AA6">
        <w:rPr>
          <w:b/>
          <w:sz w:val="22"/>
          <w:szCs w:val="22"/>
        </w:rPr>
        <w:t>TECHNICAL EVALUATION</w:t>
      </w:r>
    </w:p>
    <w:p w:rsidR="00193F10" w:rsidRPr="00194AA6" w:rsidRDefault="00193F10" w:rsidP="00194AA6">
      <w:pPr>
        <w:jc w:val="center"/>
        <w:rPr>
          <w:b/>
          <w:sz w:val="22"/>
          <w:szCs w:val="22"/>
        </w:rPr>
      </w:pPr>
      <w:r w:rsidRPr="00194AA6">
        <w:rPr>
          <w:b/>
          <w:sz w:val="22"/>
          <w:szCs w:val="22"/>
        </w:rPr>
        <w:t>&amp;</w:t>
      </w:r>
    </w:p>
    <w:p w:rsidR="00193F10" w:rsidRPr="00194AA6" w:rsidRDefault="00193F10" w:rsidP="00194AA6">
      <w:pPr>
        <w:jc w:val="center"/>
        <w:rPr>
          <w:b/>
          <w:sz w:val="22"/>
          <w:szCs w:val="22"/>
        </w:rPr>
      </w:pPr>
      <w:r w:rsidRPr="00194AA6">
        <w:rPr>
          <w:b/>
          <w:sz w:val="22"/>
          <w:szCs w:val="22"/>
        </w:rPr>
        <w:t>PRELIMINARY DETERMINATION</w:t>
      </w:r>
    </w:p>
    <w:p w:rsidR="00193F10" w:rsidRPr="00194AA6" w:rsidRDefault="00193F10" w:rsidP="00194AA6">
      <w:pPr>
        <w:jc w:val="center"/>
        <w:rPr>
          <w:sz w:val="22"/>
          <w:szCs w:val="22"/>
        </w:rPr>
      </w:pPr>
    </w:p>
    <w:p w:rsidR="00193F10" w:rsidRPr="00194AA6" w:rsidRDefault="00193F10" w:rsidP="00194AA6">
      <w:pPr>
        <w:jc w:val="center"/>
        <w:rPr>
          <w:sz w:val="22"/>
          <w:szCs w:val="22"/>
        </w:rPr>
      </w:pPr>
    </w:p>
    <w:p w:rsidR="00193F10" w:rsidRPr="00194AA6" w:rsidRDefault="00193F10" w:rsidP="00194AA6">
      <w:pPr>
        <w:jc w:val="center"/>
        <w:rPr>
          <w:sz w:val="22"/>
          <w:szCs w:val="22"/>
        </w:rPr>
      </w:pPr>
    </w:p>
    <w:p w:rsidR="00194AA6" w:rsidRPr="00194AA6" w:rsidRDefault="00194AA6" w:rsidP="00194AA6">
      <w:pPr>
        <w:pStyle w:val="Heading4"/>
        <w:spacing w:after="120"/>
        <w:rPr>
          <w:bCs/>
          <w:szCs w:val="22"/>
        </w:rPr>
      </w:pPr>
      <w:r w:rsidRPr="00194AA6">
        <w:rPr>
          <w:bCs/>
          <w:szCs w:val="22"/>
        </w:rPr>
        <w:t>APPLICANT</w:t>
      </w:r>
    </w:p>
    <w:p w:rsidR="00194AA6" w:rsidRDefault="00F94821" w:rsidP="00194AA6">
      <w:pPr>
        <w:widowControl w:val="0"/>
        <w:jc w:val="center"/>
        <w:rPr>
          <w:sz w:val="22"/>
          <w:szCs w:val="22"/>
        </w:rPr>
      </w:pPr>
      <w:r>
        <w:rPr>
          <w:sz w:val="22"/>
          <w:szCs w:val="22"/>
        </w:rPr>
        <w:t>Tampa Electric Company</w:t>
      </w:r>
    </w:p>
    <w:p w:rsidR="00194AA6" w:rsidRPr="000E6707" w:rsidRDefault="00964F1C" w:rsidP="00194AA6">
      <w:pPr>
        <w:widowControl w:val="0"/>
        <w:jc w:val="center"/>
        <w:rPr>
          <w:sz w:val="22"/>
          <w:szCs w:val="22"/>
          <w:highlight w:val="yellow"/>
        </w:rPr>
      </w:pPr>
      <w:r>
        <w:rPr>
          <w:sz w:val="22"/>
          <w:szCs w:val="22"/>
        </w:rPr>
        <w:t>Post Office</w:t>
      </w:r>
      <w:r w:rsidR="00F94821">
        <w:rPr>
          <w:sz w:val="22"/>
          <w:szCs w:val="22"/>
        </w:rPr>
        <w:t xml:space="preserve"> Box 111</w:t>
      </w:r>
    </w:p>
    <w:p w:rsidR="00194AA6" w:rsidRPr="00746205" w:rsidRDefault="00F94821" w:rsidP="00194AA6">
      <w:pPr>
        <w:widowControl w:val="0"/>
        <w:jc w:val="center"/>
        <w:rPr>
          <w:sz w:val="22"/>
          <w:szCs w:val="22"/>
        </w:rPr>
      </w:pPr>
      <w:r>
        <w:rPr>
          <w:sz w:val="22"/>
          <w:szCs w:val="22"/>
        </w:rPr>
        <w:t>Tampa, F</w:t>
      </w:r>
      <w:r w:rsidR="000360EB">
        <w:rPr>
          <w:sz w:val="22"/>
          <w:szCs w:val="22"/>
        </w:rPr>
        <w:t>lorida</w:t>
      </w:r>
      <w:r>
        <w:rPr>
          <w:sz w:val="22"/>
          <w:szCs w:val="22"/>
        </w:rPr>
        <w:t xml:space="preserve">  33601-0111</w:t>
      </w:r>
    </w:p>
    <w:p w:rsidR="00194AA6" w:rsidRDefault="00194AA6" w:rsidP="00194AA6">
      <w:pPr>
        <w:widowControl w:val="0"/>
        <w:jc w:val="center"/>
        <w:rPr>
          <w:sz w:val="22"/>
          <w:szCs w:val="22"/>
          <w:highlight w:val="yellow"/>
        </w:rPr>
      </w:pPr>
    </w:p>
    <w:p w:rsidR="00194AA6" w:rsidRDefault="00F94821" w:rsidP="00194AA6">
      <w:pPr>
        <w:widowControl w:val="0"/>
        <w:jc w:val="center"/>
        <w:rPr>
          <w:sz w:val="22"/>
          <w:szCs w:val="22"/>
        </w:rPr>
      </w:pPr>
      <w:r>
        <w:rPr>
          <w:sz w:val="22"/>
          <w:szCs w:val="22"/>
        </w:rPr>
        <w:t>Polk Power Station</w:t>
      </w:r>
      <w:r w:rsidR="00964F1C">
        <w:rPr>
          <w:sz w:val="22"/>
          <w:szCs w:val="22"/>
        </w:rPr>
        <w:t xml:space="preserve"> Unit 1</w:t>
      </w:r>
    </w:p>
    <w:p w:rsidR="00194AA6" w:rsidRDefault="00194AA6" w:rsidP="00194AA6">
      <w:pPr>
        <w:widowControl w:val="0"/>
        <w:jc w:val="center"/>
        <w:rPr>
          <w:sz w:val="22"/>
          <w:szCs w:val="22"/>
        </w:rPr>
      </w:pPr>
      <w:r w:rsidRPr="00746205">
        <w:rPr>
          <w:sz w:val="22"/>
          <w:szCs w:val="22"/>
        </w:rPr>
        <w:t xml:space="preserve">Facility ID No. </w:t>
      </w:r>
      <w:r w:rsidR="00F94821">
        <w:rPr>
          <w:sz w:val="22"/>
          <w:szCs w:val="22"/>
        </w:rPr>
        <w:t>1050233</w:t>
      </w:r>
    </w:p>
    <w:p w:rsidR="00194AA6" w:rsidRPr="00194AA6" w:rsidRDefault="00194AA6" w:rsidP="00194AA6">
      <w:pPr>
        <w:jc w:val="center"/>
        <w:rPr>
          <w:sz w:val="22"/>
        </w:rPr>
      </w:pPr>
    </w:p>
    <w:p w:rsidR="00194AA6" w:rsidRPr="00194AA6" w:rsidRDefault="00194AA6" w:rsidP="00194AA6">
      <w:pPr>
        <w:jc w:val="center"/>
        <w:rPr>
          <w:sz w:val="22"/>
        </w:rPr>
      </w:pPr>
    </w:p>
    <w:p w:rsidR="00194AA6" w:rsidRPr="00194AA6" w:rsidRDefault="00194AA6" w:rsidP="00194AA6">
      <w:pPr>
        <w:jc w:val="center"/>
        <w:rPr>
          <w:sz w:val="22"/>
        </w:rPr>
      </w:pPr>
    </w:p>
    <w:p w:rsidR="00193F10" w:rsidRDefault="00193F10" w:rsidP="00194AA6">
      <w:pPr>
        <w:pStyle w:val="Heading4"/>
        <w:spacing w:after="120"/>
        <w:rPr>
          <w:bCs/>
        </w:rPr>
      </w:pPr>
      <w:r>
        <w:rPr>
          <w:bCs/>
        </w:rPr>
        <w:t>PROJECT</w:t>
      </w:r>
    </w:p>
    <w:p w:rsidR="009A1E14" w:rsidRPr="003F62F4" w:rsidRDefault="00193F10" w:rsidP="00194AA6">
      <w:pPr>
        <w:pStyle w:val="Heading1"/>
        <w:spacing w:after="0"/>
        <w:ind w:left="0"/>
        <w:jc w:val="center"/>
        <w:rPr>
          <w:sz w:val="22"/>
        </w:rPr>
      </w:pPr>
      <w:r w:rsidRPr="003F62F4">
        <w:rPr>
          <w:sz w:val="22"/>
        </w:rPr>
        <w:t>P</w:t>
      </w:r>
      <w:r w:rsidR="00194AA6" w:rsidRPr="003F62F4">
        <w:rPr>
          <w:sz w:val="22"/>
        </w:rPr>
        <w:t>roject</w:t>
      </w:r>
      <w:r w:rsidRPr="003F62F4">
        <w:rPr>
          <w:sz w:val="22"/>
        </w:rPr>
        <w:t xml:space="preserve"> No</w:t>
      </w:r>
      <w:r w:rsidR="009A1E14" w:rsidRPr="003F62F4">
        <w:rPr>
          <w:sz w:val="22"/>
        </w:rPr>
        <w:t>s</w:t>
      </w:r>
      <w:r w:rsidRPr="003F62F4">
        <w:rPr>
          <w:sz w:val="22"/>
        </w:rPr>
        <w:t xml:space="preserve">. </w:t>
      </w:r>
      <w:r w:rsidR="00F94821" w:rsidRPr="003F62F4">
        <w:rPr>
          <w:sz w:val="22"/>
        </w:rPr>
        <w:t>1050233-02</w:t>
      </w:r>
      <w:r w:rsidR="009A1E14" w:rsidRPr="003F62F4">
        <w:rPr>
          <w:sz w:val="22"/>
        </w:rPr>
        <w:t>9</w:t>
      </w:r>
      <w:r w:rsidR="008603FF" w:rsidRPr="003F62F4">
        <w:rPr>
          <w:sz w:val="22"/>
        </w:rPr>
        <w:t>-AC</w:t>
      </w:r>
      <w:r w:rsidR="009A1E14" w:rsidRPr="003F62F4">
        <w:rPr>
          <w:sz w:val="22"/>
        </w:rPr>
        <w:t xml:space="preserve"> (PSD-FL-194J)</w:t>
      </w:r>
    </w:p>
    <w:p w:rsidR="009A1E14" w:rsidRPr="003F62F4" w:rsidRDefault="009A1E14" w:rsidP="00194AA6">
      <w:pPr>
        <w:pStyle w:val="Heading1"/>
        <w:spacing w:after="0"/>
        <w:ind w:left="0"/>
        <w:jc w:val="center"/>
        <w:rPr>
          <w:sz w:val="22"/>
        </w:rPr>
      </w:pPr>
      <w:r w:rsidRPr="003F62F4">
        <w:rPr>
          <w:sz w:val="22"/>
        </w:rPr>
        <w:t>Re-Permitting IGCC Unit 1</w:t>
      </w:r>
    </w:p>
    <w:p w:rsidR="009A1E14" w:rsidRPr="003F62F4" w:rsidRDefault="009A1E14" w:rsidP="009A1E14"/>
    <w:p w:rsidR="00193F10" w:rsidRPr="003F62F4" w:rsidRDefault="009A1E14" w:rsidP="00194AA6">
      <w:pPr>
        <w:pStyle w:val="Heading1"/>
        <w:spacing w:after="0"/>
        <w:ind w:left="0"/>
        <w:jc w:val="center"/>
        <w:rPr>
          <w:sz w:val="22"/>
        </w:rPr>
      </w:pPr>
      <w:r w:rsidRPr="003F62F4">
        <w:rPr>
          <w:sz w:val="22"/>
        </w:rPr>
        <w:t>1050233-032-AC (PSD-FL-263B and PSD-FL-363C)</w:t>
      </w:r>
    </w:p>
    <w:p w:rsidR="00F722ED" w:rsidRDefault="009A1E14" w:rsidP="00194AA6">
      <w:pPr>
        <w:jc w:val="center"/>
        <w:rPr>
          <w:sz w:val="22"/>
        </w:rPr>
      </w:pPr>
      <w:r w:rsidRPr="003F62F4">
        <w:rPr>
          <w:sz w:val="22"/>
        </w:rPr>
        <w:t xml:space="preserve">Minor </w:t>
      </w:r>
      <w:r w:rsidR="000C3548" w:rsidRPr="003F62F4">
        <w:rPr>
          <w:sz w:val="22"/>
        </w:rPr>
        <w:t>Permit Modifications for Units 2, 3, 4 and 5</w:t>
      </w:r>
      <w:r w:rsidR="000C3548">
        <w:rPr>
          <w:sz w:val="22"/>
        </w:rPr>
        <w:t xml:space="preserve"> </w:t>
      </w:r>
    </w:p>
    <w:p w:rsidR="00193F10" w:rsidRDefault="00193F10" w:rsidP="00194AA6">
      <w:pPr>
        <w:jc w:val="center"/>
        <w:rPr>
          <w:sz w:val="22"/>
        </w:rPr>
      </w:pPr>
    </w:p>
    <w:p w:rsidR="00193F10" w:rsidRDefault="00193F10" w:rsidP="00194AA6">
      <w:pPr>
        <w:jc w:val="center"/>
        <w:rPr>
          <w:sz w:val="22"/>
        </w:rPr>
      </w:pPr>
    </w:p>
    <w:p w:rsidR="00193F10" w:rsidRDefault="00193F10" w:rsidP="00194AA6">
      <w:pPr>
        <w:pStyle w:val="Heading4"/>
        <w:spacing w:after="120"/>
        <w:rPr>
          <w:bCs/>
        </w:rPr>
      </w:pPr>
      <w:r>
        <w:rPr>
          <w:bCs/>
        </w:rPr>
        <w:t>COUNTY</w:t>
      </w:r>
    </w:p>
    <w:p w:rsidR="00193F10" w:rsidRPr="001D487F" w:rsidRDefault="00F94821" w:rsidP="00194AA6">
      <w:pPr>
        <w:jc w:val="center"/>
        <w:rPr>
          <w:sz w:val="22"/>
        </w:rPr>
      </w:pPr>
      <w:r>
        <w:rPr>
          <w:sz w:val="22"/>
        </w:rPr>
        <w:t>Polk</w:t>
      </w:r>
      <w:r w:rsidR="001D1649" w:rsidRPr="001D1649">
        <w:rPr>
          <w:sz w:val="22"/>
        </w:rPr>
        <w:t xml:space="preserve"> </w:t>
      </w:r>
      <w:r w:rsidR="00193F10" w:rsidRPr="001D1649">
        <w:rPr>
          <w:sz w:val="22"/>
        </w:rPr>
        <w:t>County</w:t>
      </w:r>
      <w:r w:rsidR="001D487F">
        <w:rPr>
          <w:sz w:val="22"/>
        </w:rPr>
        <w:t>, Florida</w:t>
      </w:r>
    </w:p>
    <w:p w:rsidR="00193F10" w:rsidRDefault="00193F10" w:rsidP="00194AA6">
      <w:pPr>
        <w:jc w:val="center"/>
        <w:rPr>
          <w:sz w:val="22"/>
          <w:u w:val="single"/>
        </w:rPr>
      </w:pPr>
    </w:p>
    <w:p w:rsidR="00193F10" w:rsidRDefault="00193F10" w:rsidP="00194AA6">
      <w:pPr>
        <w:jc w:val="center"/>
        <w:rPr>
          <w:sz w:val="22"/>
          <w:u w:val="single"/>
        </w:rPr>
      </w:pPr>
    </w:p>
    <w:p w:rsidR="00193F10" w:rsidRDefault="00193F10" w:rsidP="00194AA6">
      <w:pPr>
        <w:jc w:val="center"/>
        <w:rPr>
          <w:sz w:val="22"/>
        </w:rPr>
      </w:pPr>
    </w:p>
    <w:p w:rsidR="00193F10" w:rsidRDefault="00193F10" w:rsidP="00194AA6">
      <w:pPr>
        <w:pStyle w:val="Heading8"/>
        <w:jc w:val="center"/>
      </w:pPr>
      <w:r>
        <w:t>PERMITTING</w:t>
      </w:r>
      <w:r w:rsidR="001D487F">
        <w:t xml:space="preserve"> </w:t>
      </w:r>
      <w:r>
        <w:t>AUTHORITY</w:t>
      </w:r>
    </w:p>
    <w:p w:rsidR="00194AA6" w:rsidRPr="00746205" w:rsidRDefault="00194AA6" w:rsidP="00194AA6">
      <w:pPr>
        <w:widowControl w:val="0"/>
        <w:jc w:val="center"/>
        <w:rPr>
          <w:sz w:val="22"/>
          <w:szCs w:val="22"/>
        </w:rPr>
      </w:pPr>
      <w:r w:rsidRPr="00746205">
        <w:rPr>
          <w:sz w:val="22"/>
          <w:szCs w:val="22"/>
        </w:rPr>
        <w:t>Florida Department of Environmental Protection</w:t>
      </w:r>
    </w:p>
    <w:p w:rsidR="00194AA6" w:rsidRPr="00746205" w:rsidRDefault="00194AA6" w:rsidP="00194AA6">
      <w:pPr>
        <w:widowControl w:val="0"/>
        <w:jc w:val="center"/>
        <w:rPr>
          <w:sz w:val="22"/>
          <w:szCs w:val="22"/>
        </w:rPr>
      </w:pPr>
      <w:r w:rsidRPr="00746205">
        <w:rPr>
          <w:sz w:val="22"/>
          <w:szCs w:val="22"/>
        </w:rPr>
        <w:t>Division of Air Resource Management</w:t>
      </w:r>
    </w:p>
    <w:p w:rsidR="00194AA6" w:rsidRPr="00746205" w:rsidRDefault="00F94821" w:rsidP="00194AA6">
      <w:pPr>
        <w:widowControl w:val="0"/>
        <w:jc w:val="center"/>
        <w:rPr>
          <w:sz w:val="22"/>
          <w:szCs w:val="22"/>
        </w:rPr>
      </w:pPr>
      <w:r>
        <w:rPr>
          <w:sz w:val="22"/>
          <w:szCs w:val="22"/>
        </w:rPr>
        <w:t>Office of Permitting and Compliance</w:t>
      </w:r>
    </w:p>
    <w:p w:rsidR="00194AA6" w:rsidRDefault="00194AA6" w:rsidP="00194AA6">
      <w:pPr>
        <w:widowControl w:val="0"/>
        <w:jc w:val="center"/>
        <w:rPr>
          <w:sz w:val="22"/>
          <w:szCs w:val="22"/>
        </w:rPr>
      </w:pPr>
      <w:r>
        <w:rPr>
          <w:sz w:val="22"/>
          <w:szCs w:val="22"/>
        </w:rPr>
        <w:t>2600 Blair Stone Road, MS#5505</w:t>
      </w:r>
    </w:p>
    <w:p w:rsidR="00194AA6" w:rsidRDefault="00194AA6" w:rsidP="00194AA6">
      <w:pPr>
        <w:widowControl w:val="0"/>
        <w:jc w:val="center"/>
        <w:rPr>
          <w:sz w:val="22"/>
          <w:szCs w:val="22"/>
        </w:rPr>
      </w:pPr>
      <w:smartTag w:uri="urn:schemas-microsoft-com:office:smarttags" w:element="place">
        <w:smartTag w:uri="urn:schemas-microsoft-com:office:smarttags" w:element="Street">
          <w:r>
            <w:rPr>
              <w:sz w:val="22"/>
              <w:szCs w:val="22"/>
            </w:rPr>
            <w:t>Tallahassee</w:t>
          </w:r>
        </w:smartTag>
        <w:r>
          <w:rPr>
            <w:sz w:val="22"/>
            <w:szCs w:val="22"/>
          </w:rPr>
          <w:t xml:space="preserve">, </w:t>
        </w:r>
        <w:smartTag w:uri="urn:schemas-microsoft-com:office:smarttags" w:element="State">
          <w:r>
            <w:rPr>
              <w:sz w:val="22"/>
              <w:szCs w:val="22"/>
            </w:rPr>
            <w:t>Florida</w:t>
          </w:r>
        </w:smartTag>
        <w:r>
          <w:rPr>
            <w:sz w:val="22"/>
            <w:szCs w:val="22"/>
          </w:rPr>
          <w:t xml:space="preserve">  </w:t>
        </w:r>
        <w:smartTag w:uri="urn:schemas-microsoft-com:office:smarttags" w:element="PostalCode">
          <w:r>
            <w:rPr>
              <w:sz w:val="22"/>
              <w:szCs w:val="22"/>
            </w:rPr>
            <w:t>32399-2400</w:t>
          </w:r>
        </w:smartTag>
      </w:smartTag>
    </w:p>
    <w:p w:rsidR="00193F10" w:rsidRDefault="00193F10" w:rsidP="00194AA6">
      <w:pPr>
        <w:jc w:val="center"/>
        <w:rPr>
          <w:sz w:val="22"/>
        </w:rPr>
      </w:pPr>
    </w:p>
    <w:p w:rsidR="00193F10" w:rsidRDefault="00193F10" w:rsidP="00194AA6">
      <w:pPr>
        <w:jc w:val="center"/>
        <w:rPr>
          <w:sz w:val="22"/>
        </w:rPr>
      </w:pPr>
    </w:p>
    <w:p w:rsidR="00193F10" w:rsidRDefault="00193F10" w:rsidP="00194AA6">
      <w:pPr>
        <w:jc w:val="center"/>
        <w:rPr>
          <w:sz w:val="22"/>
        </w:rPr>
      </w:pPr>
    </w:p>
    <w:p w:rsidR="00193F10" w:rsidRPr="001D487F" w:rsidRDefault="000C3548" w:rsidP="009E2740">
      <w:pPr>
        <w:spacing w:after="2160"/>
        <w:jc w:val="center"/>
        <w:rPr>
          <w:sz w:val="22"/>
        </w:rPr>
      </w:pPr>
      <w:r w:rsidRPr="00AC368F">
        <w:rPr>
          <w:sz w:val="22"/>
        </w:rPr>
        <w:t>September</w:t>
      </w:r>
      <w:r w:rsidR="008F5D48" w:rsidRPr="00AC368F">
        <w:rPr>
          <w:sz w:val="22"/>
        </w:rPr>
        <w:t xml:space="preserve"> </w:t>
      </w:r>
      <w:r w:rsidR="00AC368F" w:rsidRPr="00AC368F">
        <w:rPr>
          <w:sz w:val="22"/>
        </w:rPr>
        <w:t>27</w:t>
      </w:r>
      <w:r w:rsidR="003B480D" w:rsidRPr="00AC368F">
        <w:rPr>
          <w:sz w:val="22"/>
        </w:rPr>
        <w:t>, 201</w:t>
      </w:r>
      <w:r w:rsidR="00543D6B" w:rsidRPr="00AC368F">
        <w:rPr>
          <w:sz w:val="22"/>
        </w:rPr>
        <w:t>2</w:t>
      </w:r>
    </w:p>
    <w:p w:rsidR="00193F10" w:rsidRDefault="00193F10">
      <w:pPr>
        <w:jc w:val="center"/>
        <w:rPr>
          <w:sz w:val="22"/>
        </w:rPr>
        <w:sectPr w:rsidR="00193F10" w:rsidSect="001F10B9">
          <w:pgSz w:w="12240" w:h="15840" w:code="1"/>
          <w:pgMar w:top="720" w:right="1080" w:bottom="720" w:left="1080" w:header="720" w:footer="720" w:gutter="0"/>
          <w:paperSrc w:first="15" w:other="15"/>
          <w:pgNumType w:start="1"/>
          <w:cols w:space="720"/>
        </w:sectPr>
      </w:pPr>
    </w:p>
    <w:p w:rsidR="00193F10" w:rsidRPr="008B1DC5" w:rsidRDefault="00193F10" w:rsidP="00511785">
      <w:pPr>
        <w:pStyle w:val="ListParagraph"/>
        <w:numPr>
          <w:ilvl w:val="0"/>
          <w:numId w:val="5"/>
        </w:numPr>
        <w:spacing w:after="120"/>
        <w:ind w:hanging="720"/>
        <w:contextualSpacing w:val="0"/>
        <w:rPr>
          <w:rFonts w:ascii="Times New Roman" w:hAnsi="Times New Roman" w:cs="Times New Roman"/>
          <w:b/>
          <w:caps/>
        </w:rPr>
      </w:pPr>
      <w:r w:rsidRPr="008B1DC5">
        <w:rPr>
          <w:rFonts w:ascii="Times New Roman" w:hAnsi="Times New Roman" w:cs="Times New Roman"/>
          <w:b/>
          <w:caps/>
        </w:rPr>
        <w:lastRenderedPageBreak/>
        <w:t>General Project INFORMATION</w:t>
      </w:r>
    </w:p>
    <w:p w:rsidR="00EE6112" w:rsidRPr="008B1DC5" w:rsidRDefault="00EE6112" w:rsidP="00511785">
      <w:pPr>
        <w:pStyle w:val="ListParagraph"/>
        <w:numPr>
          <w:ilvl w:val="1"/>
          <w:numId w:val="5"/>
        </w:numPr>
        <w:spacing w:after="120"/>
        <w:ind w:left="720" w:hanging="720"/>
        <w:rPr>
          <w:rFonts w:ascii="Times New Roman" w:hAnsi="Times New Roman" w:cs="Times New Roman"/>
          <w:b/>
          <w:caps/>
        </w:rPr>
      </w:pPr>
      <w:r w:rsidRPr="008B1DC5">
        <w:rPr>
          <w:rFonts w:ascii="Times New Roman" w:hAnsi="Times New Roman" w:cs="Times New Roman"/>
          <w:b/>
          <w:bCs/>
        </w:rPr>
        <w:t>Air Pollution Regulations</w:t>
      </w:r>
    </w:p>
    <w:p w:rsidR="00EE6112" w:rsidRDefault="00EE6112" w:rsidP="00EE6112">
      <w:pPr>
        <w:spacing w:after="120"/>
        <w:rPr>
          <w:sz w:val="22"/>
          <w:szCs w:val="22"/>
        </w:rPr>
      </w:pPr>
      <w:r>
        <w:rPr>
          <w:sz w:val="22"/>
          <w:szCs w:val="22"/>
        </w:rPr>
        <w:t xml:space="preserve">Projects </w:t>
      </w:r>
      <w:r w:rsidR="004D1D9F">
        <w:rPr>
          <w:sz w:val="22"/>
          <w:szCs w:val="22"/>
        </w:rPr>
        <w:t xml:space="preserve">at stationary sources </w:t>
      </w:r>
      <w:r>
        <w:rPr>
          <w:sz w:val="22"/>
          <w:szCs w:val="22"/>
        </w:rPr>
        <w:t xml:space="preserve">with the potential to emit air pollution are </w:t>
      </w:r>
      <w:r w:rsidRPr="000302D6">
        <w:rPr>
          <w:sz w:val="22"/>
          <w:szCs w:val="22"/>
        </w:rPr>
        <w:t>subject to the applicable environmental laws specified in Section 403 of the Florida Statutes (F.S.)</w:t>
      </w:r>
      <w:r>
        <w:rPr>
          <w:sz w:val="22"/>
          <w:szCs w:val="22"/>
        </w:rPr>
        <w:t xml:space="preserve">.  The statutes </w:t>
      </w:r>
      <w:r w:rsidRPr="000302D6">
        <w:rPr>
          <w:sz w:val="22"/>
          <w:szCs w:val="22"/>
        </w:rPr>
        <w:t>authoriz</w:t>
      </w:r>
      <w:r w:rsidR="000C5143">
        <w:rPr>
          <w:sz w:val="22"/>
          <w:szCs w:val="22"/>
        </w:rPr>
        <w:t>e</w:t>
      </w:r>
      <w:r w:rsidRPr="000302D6">
        <w:rPr>
          <w:sz w:val="22"/>
          <w:szCs w:val="22"/>
        </w:rPr>
        <w:t xml:space="preserve"> the Department of Environmental Protection </w:t>
      </w:r>
      <w:r>
        <w:rPr>
          <w:sz w:val="22"/>
          <w:szCs w:val="22"/>
        </w:rPr>
        <w:t xml:space="preserve">(Department) </w:t>
      </w:r>
      <w:r w:rsidRPr="000302D6">
        <w:rPr>
          <w:sz w:val="22"/>
          <w:szCs w:val="22"/>
        </w:rPr>
        <w:t xml:space="preserve">to establish regulations regarding air quality as part of the Florida Administrative Code (F.A.C.), which includes the following </w:t>
      </w:r>
      <w:r w:rsidR="00701FEF">
        <w:rPr>
          <w:sz w:val="22"/>
          <w:szCs w:val="22"/>
        </w:rPr>
        <w:t xml:space="preserve">applicable </w:t>
      </w:r>
      <w:r w:rsidRPr="000302D6">
        <w:rPr>
          <w:sz w:val="22"/>
          <w:szCs w:val="22"/>
        </w:rPr>
        <w:t>chapters:  62-4 (Permits); 62-204 (Air Pollution Control – General Provisions); 62-210 (Stationary Sources – General Requirements); 62-212 (Stationary Sources</w:t>
      </w:r>
      <w:r w:rsidR="00D51D78" w:rsidRPr="000302D6">
        <w:rPr>
          <w:sz w:val="22"/>
          <w:szCs w:val="22"/>
        </w:rPr>
        <w:t xml:space="preserve"> – </w:t>
      </w:r>
      <w:r w:rsidRPr="000302D6">
        <w:rPr>
          <w:sz w:val="22"/>
          <w:szCs w:val="22"/>
        </w:rPr>
        <w:t>Preconstruction Review); 62-213 (Operation Permits for Major Sources of Air Pollution); 62-296 (Stationary Sources - Emission Standards); and 62-297 (Stationary Sources</w:t>
      </w:r>
      <w:r w:rsidR="00D51D78" w:rsidRPr="000302D6">
        <w:rPr>
          <w:sz w:val="22"/>
          <w:szCs w:val="22"/>
        </w:rPr>
        <w:t xml:space="preserve"> – </w:t>
      </w:r>
      <w:r w:rsidRPr="000302D6">
        <w:rPr>
          <w:sz w:val="22"/>
          <w:szCs w:val="22"/>
        </w:rPr>
        <w:t>Emissions Monitoring)</w:t>
      </w:r>
      <w:r w:rsidR="00694A38" w:rsidRPr="00694A38">
        <w:rPr>
          <w:sz w:val="22"/>
          <w:szCs w:val="22"/>
        </w:rPr>
        <w:t>, F.A.C.</w:t>
      </w:r>
      <w:r>
        <w:rPr>
          <w:sz w:val="22"/>
          <w:szCs w:val="22"/>
        </w:rPr>
        <w:t xml:space="preserve">  Specifically, air construction permits are required pursuant to Rules 62-4, 62-210 and 62-212, F.A.C.</w:t>
      </w:r>
    </w:p>
    <w:p w:rsidR="00EE6112" w:rsidRPr="000302D6" w:rsidRDefault="00EE6112" w:rsidP="00EE6112">
      <w:pPr>
        <w:spacing w:after="120"/>
        <w:rPr>
          <w:sz w:val="22"/>
          <w:szCs w:val="22"/>
        </w:rPr>
      </w:pPr>
      <w:r w:rsidRPr="000302D6">
        <w:rPr>
          <w:sz w:val="22"/>
          <w:szCs w:val="22"/>
        </w:rPr>
        <w:t>In addition, the U. S. Environmental Protection Agency (EPA) establishes air quality regulations in Title 40 of the Code of Federal Regulations</w:t>
      </w:r>
      <w:r>
        <w:rPr>
          <w:sz w:val="22"/>
          <w:szCs w:val="22"/>
        </w:rPr>
        <w:t xml:space="preserve"> (CFR).  </w:t>
      </w:r>
      <w:r w:rsidRPr="000302D6">
        <w:rPr>
          <w:sz w:val="22"/>
          <w:szCs w:val="22"/>
        </w:rPr>
        <w:t xml:space="preserve">Part 60 </w:t>
      </w:r>
      <w:r>
        <w:rPr>
          <w:sz w:val="22"/>
          <w:szCs w:val="22"/>
        </w:rPr>
        <w:t>specifies New Source Performance Standards (</w:t>
      </w:r>
      <w:r w:rsidRPr="000302D6">
        <w:rPr>
          <w:sz w:val="22"/>
          <w:szCs w:val="22"/>
        </w:rPr>
        <w:t>NSPS</w:t>
      </w:r>
      <w:r>
        <w:rPr>
          <w:sz w:val="22"/>
          <w:szCs w:val="22"/>
        </w:rPr>
        <w:t>)</w:t>
      </w:r>
      <w:r w:rsidRPr="000302D6">
        <w:rPr>
          <w:sz w:val="22"/>
          <w:szCs w:val="22"/>
        </w:rPr>
        <w:t xml:space="preserve"> for </w:t>
      </w:r>
      <w:r>
        <w:rPr>
          <w:sz w:val="22"/>
          <w:szCs w:val="22"/>
        </w:rPr>
        <w:t xml:space="preserve">numerous </w:t>
      </w:r>
      <w:r w:rsidRPr="000302D6">
        <w:rPr>
          <w:sz w:val="22"/>
          <w:szCs w:val="22"/>
        </w:rPr>
        <w:t xml:space="preserve">industrial </w:t>
      </w:r>
      <w:r w:rsidR="000E42D3" w:rsidRPr="000302D6">
        <w:rPr>
          <w:sz w:val="22"/>
          <w:szCs w:val="22"/>
        </w:rPr>
        <w:t>categories</w:t>
      </w:r>
      <w:r>
        <w:rPr>
          <w:sz w:val="22"/>
          <w:szCs w:val="22"/>
        </w:rPr>
        <w:t xml:space="preserve">.  </w:t>
      </w:r>
      <w:r w:rsidRPr="000302D6">
        <w:rPr>
          <w:sz w:val="22"/>
          <w:szCs w:val="22"/>
        </w:rPr>
        <w:t>Part 61 specifies National Emission Standards for Hazardous Air Pollutants (NESHAP) based on specific pollutants</w:t>
      </w:r>
      <w:r>
        <w:rPr>
          <w:sz w:val="22"/>
          <w:szCs w:val="22"/>
        </w:rPr>
        <w:t xml:space="preserve">.  </w:t>
      </w:r>
      <w:r w:rsidRPr="000302D6">
        <w:rPr>
          <w:sz w:val="22"/>
          <w:szCs w:val="22"/>
        </w:rPr>
        <w:t xml:space="preserve">Part 63 specifies NESHAP based on the Maximum Achievable Control Technology (MACT) for </w:t>
      </w:r>
      <w:r>
        <w:rPr>
          <w:sz w:val="22"/>
          <w:szCs w:val="22"/>
        </w:rPr>
        <w:t xml:space="preserve">numerous </w:t>
      </w:r>
      <w:r w:rsidRPr="000302D6">
        <w:rPr>
          <w:sz w:val="22"/>
          <w:szCs w:val="22"/>
        </w:rPr>
        <w:t xml:space="preserve">industrial categories.  The Department adopts these federal regulations </w:t>
      </w:r>
      <w:r>
        <w:rPr>
          <w:sz w:val="22"/>
          <w:szCs w:val="22"/>
        </w:rPr>
        <w:t xml:space="preserve">on a quarterly basis </w:t>
      </w:r>
      <w:r w:rsidRPr="000302D6">
        <w:rPr>
          <w:sz w:val="22"/>
          <w:szCs w:val="22"/>
        </w:rPr>
        <w:t>in Rule 62-204.800, F.A.C.</w:t>
      </w:r>
    </w:p>
    <w:p w:rsidR="00193F10" w:rsidRPr="008B1DC5" w:rsidRDefault="00193F10" w:rsidP="00511785">
      <w:pPr>
        <w:pStyle w:val="ListParagraph"/>
        <w:numPr>
          <w:ilvl w:val="0"/>
          <w:numId w:val="6"/>
        </w:numPr>
        <w:spacing w:after="120"/>
        <w:ind w:left="720" w:hanging="720"/>
        <w:rPr>
          <w:rFonts w:ascii="Times New Roman" w:hAnsi="Times New Roman" w:cs="Times New Roman"/>
          <w:b/>
          <w:caps/>
        </w:rPr>
      </w:pPr>
      <w:r w:rsidRPr="008B1DC5">
        <w:rPr>
          <w:rFonts w:ascii="Times New Roman" w:hAnsi="Times New Roman" w:cs="Times New Roman"/>
          <w:b/>
          <w:bCs/>
        </w:rPr>
        <w:t>Facility Description and Location</w:t>
      </w:r>
    </w:p>
    <w:p w:rsidR="005B236F" w:rsidRDefault="005B236F" w:rsidP="005B236F">
      <w:pPr>
        <w:pStyle w:val="BodyText3"/>
        <w:numPr>
          <w:ilvl w:val="12"/>
          <w:numId w:val="0"/>
        </w:numPr>
        <w:spacing w:before="0"/>
      </w:pPr>
      <w:r>
        <w:t>The Tampa Electric Company (TECO)</w:t>
      </w:r>
      <w:r w:rsidR="008F5D48">
        <w:t xml:space="preserve"> operates the existing </w:t>
      </w:r>
      <w:r w:rsidRPr="007B0A71">
        <w:t>Polk Power Station</w:t>
      </w:r>
      <w:r w:rsidR="008F5D48">
        <w:t xml:space="preserve">, which is </w:t>
      </w:r>
      <w:r w:rsidRPr="00322633">
        <w:rPr>
          <w:szCs w:val="22"/>
        </w:rPr>
        <w:t xml:space="preserve">an electric power </w:t>
      </w:r>
      <w:r w:rsidR="008F5D48">
        <w:rPr>
          <w:szCs w:val="22"/>
        </w:rPr>
        <w:t xml:space="preserve">plant </w:t>
      </w:r>
      <w:r>
        <w:rPr>
          <w:szCs w:val="22"/>
        </w:rPr>
        <w:t>consisting of five key electrical generating units (Units 1</w:t>
      </w:r>
      <w:r w:rsidR="009129D2">
        <w:rPr>
          <w:szCs w:val="22"/>
        </w:rPr>
        <w:t xml:space="preserve"> to </w:t>
      </w:r>
      <w:r>
        <w:rPr>
          <w:szCs w:val="22"/>
        </w:rPr>
        <w:t xml:space="preserve">5).  The facility </w:t>
      </w:r>
      <w:r w:rsidRPr="007B0A71">
        <w:t xml:space="preserve">is categorized under </w:t>
      </w:r>
      <w:r w:rsidRPr="007B0A71">
        <w:rPr>
          <w:bCs/>
        </w:rPr>
        <w:t>Standard Industrial Classification Code No. 4911</w:t>
      </w:r>
      <w:r w:rsidR="008F5D48">
        <w:rPr>
          <w:bCs/>
        </w:rPr>
        <w:t>, for electrical services</w:t>
      </w:r>
      <w:r w:rsidRPr="007B0A71">
        <w:rPr>
          <w:bCs/>
        </w:rPr>
        <w:t xml:space="preserve">. </w:t>
      </w:r>
      <w:r w:rsidRPr="007B0A71">
        <w:t xml:space="preserve"> T</w:t>
      </w:r>
      <w:r w:rsidRPr="007B0A71">
        <w:rPr>
          <w:szCs w:val="22"/>
        </w:rPr>
        <w:t xml:space="preserve">he </w:t>
      </w:r>
      <w:r w:rsidR="008F5D48">
        <w:rPr>
          <w:szCs w:val="22"/>
        </w:rPr>
        <w:t xml:space="preserve">existing plant </w:t>
      </w:r>
      <w:r w:rsidRPr="007B0A71">
        <w:rPr>
          <w:szCs w:val="22"/>
        </w:rPr>
        <w:t>is located in Polk County at 9995 State Road 37 South in Mulberry, Florida</w:t>
      </w:r>
      <w:r w:rsidRPr="007B0A71">
        <w:t xml:space="preserve">.  The </w:t>
      </w:r>
      <w:r w:rsidRPr="007B0A71">
        <w:rPr>
          <w:szCs w:val="22"/>
        </w:rPr>
        <w:t>UTM coordinates are Zone 17, 402.45 k</w:t>
      </w:r>
      <w:r>
        <w:rPr>
          <w:szCs w:val="22"/>
        </w:rPr>
        <w:t>ilometers (k</w:t>
      </w:r>
      <w:r w:rsidRPr="007B0A71">
        <w:rPr>
          <w:szCs w:val="22"/>
        </w:rPr>
        <w:t>m</w:t>
      </w:r>
      <w:r>
        <w:rPr>
          <w:szCs w:val="22"/>
        </w:rPr>
        <w:t>)</w:t>
      </w:r>
      <w:r w:rsidRPr="007B0A71">
        <w:rPr>
          <w:szCs w:val="22"/>
        </w:rPr>
        <w:t xml:space="preserve"> East, and 3</w:t>
      </w:r>
      <w:r w:rsidR="009129D2">
        <w:rPr>
          <w:szCs w:val="22"/>
        </w:rPr>
        <w:t>,</w:t>
      </w:r>
      <w:r w:rsidRPr="007B0A71">
        <w:rPr>
          <w:szCs w:val="22"/>
        </w:rPr>
        <w:t>067.35 km North</w:t>
      </w:r>
      <w:r w:rsidRPr="007B0A71">
        <w:t>.  This</w:t>
      </w:r>
      <w:r>
        <w:t xml:space="preserve"> site is in an area that is in attainment (or designated as unclassifiable) for all air pollutants subject to state and federal Ambient Air Quality Standards (AAQS).  Figure 1 shows the location of Polk County while Figure 2 shows an aerial view of Unit 1 at the PPS.  </w:t>
      </w:r>
      <w:r w:rsidRPr="00362156">
        <w:t xml:space="preserve">The current Title V Air Operation Permit </w:t>
      </w:r>
      <w:r>
        <w:t xml:space="preserve">under which the </w:t>
      </w:r>
      <w:r w:rsidRPr="00362156">
        <w:t xml:space="preserve">PPS </w:t>
      </w:r>
      <w:r>
        <w:t xml:space="preserve">operated </w:t>
      </w:r>
      <w:r w:rsidRPr="00362156">
        <w:t>is No. 1050233-026-AV.</w:t>
      </w:r>
    </w:p>
    <w:p w:rsidR="005B236F" w:rsidRDefault="00555EB5" w:rsidP="005B236F">
      <w:pPr>
        <w:pStyle w:val="BodyText3"/>
        <w:numPr>
          <w:ilvl w:val="12"/>
          <w:numId w:val="0"/>
        </w:numPr>
        <w:spacing w:before="0"/>
        <w:rPr>
          <w:szCs w:val="22"/>
        </w:rPr>
      </w:pPr>
      <w:r>
        <w:rPr>
          <w:noProof/>
          <w:szCs w:val="22"/>
        </w:rPr>
        <w:pict>
          <v:shapetype id="_x0000_t32" coordsize="21600,21600" o:spt="32" o:oned="t" path="m,l21600,21600e" filled="f">
            <v:path arrowok="t" fillok="f" o:connecttype="none"/>
            <o:lock v:ext="edit" shapetype="t"/>
          </v:shapetype>
          <v:shape id="_x0000_s1027" type="#_x0000_t32" style="position:absolute;margin-left:111pt;margin-top:115.8pt;width:65.5pt;height:10pt;flip:y;z-index:251657216" o:connectortype="straight">
            <v:stroke endarrow="block"/>
          </v:shape>
        </w:pict>
      </w:r>
      <w:r>
        <w:rPr>
          <w:noProof/>
          <w:szCs w:val="22"/>
          <w:lang w:eastAsia="zh-TW"/>
        </w:rPr>
        <w:pict>
          <v:shapetype id="_x0000_t202" coordsize="21600,21600" o:spt="202" path="m,l,21600r21600,l21600,xe">
            <v:stroke joinstyle="miter"/>
            <v:path gradientshapeok="t" o:connecttype="rect"/>
          </v:shapetype>
          <v:shape id="_x0000_s1026" type="#_x0000_t202" style="position:absolute;margin-left:44.7pt;margin-top:115.8pt;width:75.55pt;height:23.3pt;z-index:251658240;mso-width-relative:margin;mso-height-relative:margin" filled="f" stroked="f">
            <v:textbox style="mso-next-textbox:#_x0000_s1026">
              <w:txbxContent>
                <w:p w:rsidR="00135AF0" w:rsidRPr="00190494" w:rsidRDefault="00135AF0" w:rsidP="005B236F">
                  <w:pPr>
                    <w:rPr>
                      <w:b/>
                      <w:color w:val="FF0000"/>
                    </w:rPr>
                  </w:pPr>
                  <w:r w:rsidRPr="00190494">
                    <w:rPr>
                      <w:b/>
                      <w:color w:val="FF0000"/>
                    </w:rPr>
                    <w:t>Polk County</w:t>
                  </w:r>
                </w:p>
              </w:txbxContent>
            </v:textbox>
          </v:shape>
        </w:pict>
      </w:r>
      <w:r w:rsidR="005B236F">
        <w:rPr>
          <w:noProof/>
          <w:szCs w:val="22"/>
        </w:rPr>
        <w:drawing>
          <wp:inline distT="0" distB="0" distL="0" distR="0">
            <wp:extent cx="2899410" cy="2889760"/>
            <wp:effectExtent l="19050" t="0" r="0" b="0"/>
            <wp:docPr id="2" name="Picture 1" descr="601px-Map_of_Florida_highlighting_Polk_County_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1px-Map_of_Florida_highlighting_Polk_County_svg.png"/>
                    <pic:cNvPicPr/>
                  </pic:nvPicPr>
                  <pic:blipFill>
                    <a:blip r:embed="rId9" cstate="print"/>
                    <a:stretch>
                      <a:fillRect/>
                    </a:stretch>
                  </pic:blipFill>
                  <pic:spPr>
                    <a:xfrm>
                      <a:off x="0" y="0"/>
                      <a:ext cx="2897799" cy="2888154"/>
                    </a:xfrm>
                    <a:prstGeom prst="rect">
                      <a:avLst/>
                    </a:prstGeom>
                  </pic:spPr>
                </pic:pic>
              </a:graphicData>
            </a:graphic>
          </wp:inline>
        </w:drawing>
      </w:r>
      <w:r w:rsidR="008F5D48">
        <w:rPr>
          <w:szCs w:val="22"/>
        </w:rPr>
        <w:tab/>
      </w:r>
      <w:r w:rsidR="008F5D48">
        <w:rPr>
          <w:szCs w:val="22"/>
        </w:rPr>
        <w:tab/>
      </w:r>
      <w:r w:rsidR="005B236F">
        <w:rPr>
          <w:noProof/>
          <w:szCs w:val="22"/>
        </w:rPr>
        <w:drawing>
          <wp:inline distT="0" distB="0" distL="0" distR="0">
            <wp:extent cx="2621853" cy="2755900"/>
            <wp:effectExtent l="19050" t="0" r="7047" b="0"/>
            <wp:docPr id="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cstate="print"/>
                    <a:srcRect/>
                    <a:stretch>
                      <a:fillRect/>
                    </a:stretch>
                  </pic:blipFill>
                  <pic:spPr bwMode="auto">
                    <a:xfrm>
                      <a:off x="0" y="0"/>
                      <a:ext cx="2624605" cy="2758793"/>
                    </a:xfrm>
                    <a:prstGeom prst="rect">
                      <a:avLst/>
                    </a:prstGeom>
                    <a:noFill/>
                    <a:ln w="9525">
                      <a:noFill/>
                      <a:miter lim="800000"/>
                      <a:headEnd/>
                      <a:tailEnd/>
                    </a:ln>
                  </pic:spPr>
                </pic:pic>
              </a:graphicData>
            </a:graphic>
          </wp:inline>
        </w:drawing>
      </w:r>
    </w:p>
    <w:p w:rsidR="005B236F" w:rsidRPr="005B236F" w:rsidRDefault="005B236F" w:rsidP="005B236F">
      <w:pPr>
        <w:pStyle w:val="Caption"/>
        <w:tabs>
          <w:tab w:val="left" w:pos="540"/>
          <w:tab w:val="left" w:pos="5220"/>
        </w:tabs>
        <w:rPr>
          <w:rFonts w:ascii="Times New Roman Bold" w:hAnsi="Times New Roman Bold"/>
          <w:caps w:val="0"/>
          <w:szCs w:val="22"/>
        </w:rPr>
      </w:pPr>
      <w:r w:rsidRPr="00C92848">
        <w:tab/>
      </w:r>
      <w:r w:rsidRPr="005B236F">
        <w:rPr>
          <w:rFonts w:ascii="Times New Roman Bold" w:hAnsi="Times New Roman Bold"/>
          <w:caps w:val="0"/>
        </w:rPr>
        <w:t xml:space="preserve">Figure </w:t>
      </w:r>
      <w:r w:rsidR="00555EB5" w:rsidRPr="005B236F">
        <w:rPr>
          <w:rFonts w:ascii="Times New Roman Bold" w:hAnsi="Times New Roman Bold"/>
          <w:caps w:val="0"/>
        </w:rPr>
        <w:fldChar w:fldCharType="begin"/>
      </w:r>
      <w:r w:rsidRPr="005B236F">
        <w:rPr>
          <w:rFonts w:ascii="Times New Roman Bold" w:hAnsi="Times New Roman Bold"/>
          <w:caps w:val="0"/>
        </w:rPr>
        <w:instrText xml:space="preserve"> SEQ Figure \* ARABIC </w:instrText>
      </w:r>
      <w:r w:rsidR="00555EB5" w:rsidRPr="005B236F">
        <w:rPr>
          <w:rFonts w:ascii="Times New Roman Bold" w:hAnsi="Times New Roman Bold"/>
          <w:caps w:val="0"/>
        </w:rPr>
        <w:fldChar w:fldCharType="separate"/>
      </w:r>
      <w:r w:rsidRPr="005B236F">
        <w:rPr>
          <w:rFonts w:ascii="Times New Roman Bold" w:hAnsi="Times New Roman Bold"/>
          <w:caps w:val="0"/>
          <w:noProof/>
        </w:rPr>
        <w:t>1</w:t>
      </w:r>
      <w:r w:rsidR="00555EB5" w:rsidRPr="005B236F">
        <w:rPr>
          <w:rFonts w:ascii="Times New Roman Bold" w:hAnsi="Times New Roman Bold"/>
          <w:caps w:val="0"/>
        </w:rPr>
        <w:fldChar w:fldCharType="end"/>
      </w:r>
      <w:r w:rsidRPr="005B236F">
        <w:rPr>
          <w:rFonts w:ascii="Times New Roman Bold" w:hAnsi="Times New Roman Bold"/>
          <w:caps w:val="0"/>
          <w:szCs w:val="22"/>
        </w:rPr>
        <w:t xml:space="preserve"> – Polk County in Florida</w:t>
      </w:r>
      <w:r w:rsidRPr="005B236F">
        <w:rPr>
          <w:rFonts w:ascii="Times New Roman Bold" w:hAnsi="Times New Roman Bold"/>
          <w:caps w:val="0"/>
          <w:szCs w:val="22"/>
        </w:rPr>
        <w:tab/>
      </w:r>
      <w:r w:rsidRPr="005B236F">
        <w:rPr>
          <w:rFonts w:ascii="Times New Roman Bold" w:hAnsi="Times New Roman Bold"/>
          <w:caps w:val="0"/>
        </w:rPr>
        <w:t xml:space="preserve">Figure </w:t>
      </w:r>
      <w:r w:rsidR="00555EB5" w:rsidRPr="005B236F">
        <w:rPr>
          <w:rFonts w:ascii="Times New Roman Bold" w:hAnsi="Times New Roman Bold"/>
          <w:caps w:val="0"/>
        </w:rPr>
        <w:fldChar w:fldCharType="begin"/>
      </w:r>
      <w:r w:rsidRPr="005B236F">
        <w:rPr>
          <w:rFonts w:ascii="Times New Roman Bold" w:hAnsi="Times New Roman Bold"/>
          <w:caps w:val="0"/>
        </w:rPr>
        <w:instrText xml:space="preserve"> SEQ Figure \* ARABIC </w:instrText>
      </w:r>
      <w:r w:rsidR="00555EB5" w:rsidRPr="005B236F">
        <w:rPr>
          <w:rFonts w:ascii="Times New Roman Bold" w:hAnsi="Times New Roman Bold"/>
          <w:caps w:val="0"/>
        </w:rPr>
        <w:fldChar w:fldCharType="separate"/>
      </w:r>
      <w:r w:rsidRPr="005B236F">
        <w:rPr>
          <w:rFonts w:ascii="Times New Roman Bold" w:hAnsi="Times New Roman Bold"/>
          <w:caps w:val="0"/>
          <w:noProof/>
        </w:rPr>
        <w:t>2</w:t>
      </w:r>
      <w:r w:rsidR="00555EB5" w:rsidRPr="005B236F">
        <w:rPr>
          <w:rFonts w:ascii="Times New Roman Bold" w:hAnsi="Times New Roman Bold"/>
          <w:caps w:val="0"/>
        </w:rPr>
        <w:fldChar w:fldCharType="end"/>
      </w:r>
      <w:r w:rsidRPr="005B236F">
        <w:rPr>
          <w:rFonts w:ascii="Times New Roman Bold" w:hAnsi="Times New Roman Bold"/>
          <w:caps w:val="0"/>
          <w:szCs w:val="22"/>
        </w:rPr>
        <w:t xml:space="preserve"> - TECO PPS Unit 1 IGCC Plant</w:t>
      </w:r>
    </w:p>
    <w:p w:rsidR="005B236F" w:rsidRDefault="005B236F" w:rsidP="005B236F">
      <w:pPr>
        <w:pStyle w:val="BodyText3"/>
        <w:numPr>
          <w:ilvl w:val="12"/>
          <w:numId w:val="0"/>
        </w:numPr>
        <w:spacing w:before="0"/>
        <w:rPr>
          <w:szCs w:val="22"/>
        </w:rPr>
      </w:pPr>
      <w:r w:rsidRPr="00994FAF">
        <w:rPr>
          <w:szCs w:val="22"/>
        </w:rPr>
        <w:lastRenderedPageBreak/>
        <w:t>Unit 1 consists of a nominal 2</w:t>
      </w:r>
      <w:r>
        <w:rPr>
          <w:szCs w:val="22"/>
        </w:rPr>
        <w:t>6</w:t>
      </w:r>
      <w:r w:rsidRPr="00994FAF">
        <w:rPr>
          <w:szCs w:val="22"/>
        </w:rPr>
        <w:t xml:space="preserve">0 megawatt (MW) solid fuel-based integrated gasification and combined cycle (IGCC) </w:t>
      </w:r>
      <w:r>
        <w:rPr>
          <w:szCs w:val="22"/>
        </w:rPr>
        <w:t xml:space="preserve">plant </w:t>
      </w:r>
      <w:r w:rsidRPr="00994FAF">
        <w:rPr>
          <w:szCs w:val="22"/>
        </w:rPr>
        <w:t xml:space="preserve">including: a nominal 192 MW (gross) </w:t>
      </w:r>
      <w:r>
        <w:rPr>
          <w:szCs w:val="22"/>
        </w:rPr>
        <w:t>s</w:t>
      </w:r>
      <w:r w:rsidRPr="00994FAF">
        <w:rPr>
          <w:szCs w:val="22"/>
        </w:rPr>
        <w:t>yngas</w:t>
      </w:r>
      <w:r w:rsidR="009129D2">
        <w:rPr>
          <w:szCs w:val="22"/>
        </w:rPr>
        <w:t xml:space="preserve"> and </w:t>
      </w:r>
      <w:r w:rsidRPr="00994FAF">
        <w:rPr>
          <w:szCs w:val="22"/>
        </w:rPr>
        <w:t xml:space="preserve">No. 2 fuel oil-fired General Electric (GE) 7FA </w:t>
      </w:r>
      <w:r w:rsidR="00BC2743" w:rsidRPr="00994FAF">
        <w:rPr>
          <w:szCs w:val="22"/>
        </w:rPr>
        <w:t xml:space="preserve">combustion turbine-electrical generator </w:t>
      </w:r>
      <w:r w:rsidRPr="00994FAF">
        <w:rPr>
          <w:szCs w:val="22"/>
        </w:rPr>
        <w:t>(</w:t>
      </w:r>
      <w:r w:rsidR="00BC2743">
        <w:rPr>
          <w:szCs w:val="22"/>
        </w:rPr>
        <w:t>CCCT</w:t>
      </w:r>
      <w:r w:rsidRPr="00994FAF">
        <w:rPr>
          <w:szCs w:val="22"/>
        </w:rPr>
        <w:t xml:space="preserve">) designated </w:t>
      </w:r>
      <w:r w:rsidR="009129D2">
        <w:rPr>
          <w:szCs w:val="22"/>
        </w:rPr>
        <w:t xml:space="preserve">as </w:t>
      </w:r>
      <w:r w:rsidRPr="00994FAF">
        <w:rPr>
          <w:szCs w:val="22"/>
        </w:rPr>
        <w:t>Emission Unit (EU) 001; a heat recovery steam generator (HRSG); a nominal 123 MW (gross) steam turbine-electrical generator (ST</w:t>
      </w:r>
      <w:r>
        <w:rPr>
          <w:szCs w:val="22"/>
        </w:rPr>
        <w:t>E</w:t>
      </w:r>
      <w:r w:rsidRPr="00994FAF">
        <w:rPr>
          <w:szCs w:val="22"/>
        </w:rPr>
        <w:t>G); a solid fuel handling system designated as EU</w:t>
      </w:r>
      <w:r>
        <w:rPr>
          <w:szCs w:val="22"/>
        </w:rPr>
        <w:t xml:space="preserve"> </w:t>
      </w:r>
      <w:r w:rsidRPr="00994FAF">
        <w:rPr>
          <w:szCs w:val="22"/>
        </w:rPr>
        <w:t>005; an entrained flow solid fuel gasification system designated as EU</w:t>
      </w:r>
      <w:r>
        <w:rPr>
          <w:szCs w:val="22"/>
        </w:rPr>
        <w:t xml:space="preserve"> </w:t>
      </w:r>
      <w:r w:rsidRPr="00994FAF">
        <w:rPr>
          <w:szCs w:val="22"/>
        </w:rPr>
        <w:t xml:space="preserve">006; an oxygen plant; a synthetic gas (syngas) cleanup and sulfur recovery system; </w:t>
      </w:r>
      <w:r>
        <w:rPr>
          <w:szCs w:val="22"/>
        </w:rPr>
        <w:t xml:space="preserve">and </w:t>
      </w:r>
      <w:r w:rsidRPr="00994FAF">
        <w:rPr>
          <w:szCs w:val="22"/>
        </w:rPr>
        <w:t>a sulfuric acid plant</w:t>
      </w:r>
      <w:r w:rsidR="00E45BD3">
        <w:rPr>
          <w:szCs w:val="22"/>
        </w:rPr>
        <w:t xml:space="preserve"> (SAP)</w:t>
      </w:r>
      <w:r w:rsidRPr="00994FAF">
        <w:rPr>
          <w:szCs w:val="22"/>
        </w:rPr>
        <w:t xml:space="preserve"> designated as EU</w:t>
      </w:r>
      <w:r>
        <w:rPr>
          <w:szCs w:val="22"/>
        </w:rPr>
        <w:t xml:space="preserve"> </w:t>
      </w:r>
      <w:r w:rsidRPr="00994FAF">
        <w:rPr>
          <w:szCs w:val="22"/>
        </w:rPr>
        <w:t xml:space="preserve">004.  There is also a </w:t>
      </w:r>
      <w:r w:rsidRPr="00412556">
        <w:rPr>
          <w:szCs w:val="22"/>
        </w:rPr>
        <w:t>1</w:t>
      </w:r>
      <w:r>
        <w:rPr>
          <w:szCs w:val="22"/>
        </w:rPr>
        <w:t>2</w:t>
      </w:r>
      <w:r w:rsidRPr="00412556">
        <w:rPr>
          <w:szCs w:val="22"/>
        </w:rPr>
        <w:t xml:space="preserve">0 </w:t>
      </w:r>
      <w:r>
        <w:rPr>
          <w:szCs w:val="22"/>
        </w:rPr>
        <w:t>m</w:t>
      </w:r>
      <w:r w:rsidRPr="00412556">
        <w:rPr>
          <w:szCs w:val="22"/>
        </w:rPr>
        <w:t xml:space="preserve">illion </w:t>
      </w:r>
      <w:r>
        <w:rPr>
          <w:szCs w:val="22"/>
        </w:rPr>
        <w:t>British thermal units</w:t>
      </w:r>
      <w:r w:rsidRPr="00412556">
        <w:rPr>
          <w:szCs w:val="22"/>
        </w:rPr>
        <w:t xml:space="preserve"> per </w:t>
      </w:r>
      <w:r w:rsidR="008F5D48">
        <w:rPr>
          <w:szCs w:val="22"/>
        </w:rPr>
        <w:t>h</w:t>
      </w:r>
      <w:r w:rsidRPr="00412556">
        <w:rPr>
          <w:szCs w:val="22"/>
        </w:rPr>
        <w:t xml:space="preserve">our </w:t>
      </w:r>
      <w:r>
        <w:rPr>
          <w:szCs w:val="22"/>
        </w:rPr>
        <w:t>(MMBtu/hr) a</w:t>
      </w:r>
      <w:r w:rsidRPr="00412556">
        <w:rPr>
          <w:szCs w:val="22"/>
        </w:rPr>
        <w:t xml:space="preserve">uxiliary </w:t>
      </w:r>
      <w:r>
        <w:rPr>
          <w:szCs w:val="22"/>
        </w:rPr>
        <w:t>b</w:t>
      </w:r>
      <w:r w:rsidRPr="00412556">
        <w:rPr>
          <w:szCs w:val="22"/>
        </w:rPr>
        <w:t>oiler</w:t>
      </w:r>
      <w:r>
        <w:rPr>
          <w:szCs w:val="22"/>
        </w:rPr>
        <w:t xml:space="preserve"> designated as EU-003.  Approximately 65 MW are consumed by the oxygen plant and process auxiliary equipment which is the difference between net and gross power production.  Currently the startup fuel for the </w:t>
      </w:r>
      <w:r w:rsidR="00E45BD3">
        <w:rPr>
          <w:szCs w:val="22"/>
        </w:rPr>
        <w:t>SAP</w:t>
      </w:r>
      <w:r>
        <w:rPr>
          <w:szCs w:val="22"/>
        </w:rPr>
        <w:t xml:space="preserve"> and solid fuel gasifier is propane.  No. 2 fuel oil is used as the augmentation and backup fuel for the </w:t>
      </w:r>
      <w:r w:rsidR="00BC2743">
        <w:rPr>
          <w:szCs w:val="22"/>
        </w:rPr>
        <w:t>CCCT</w:t>
      </w:r>
      <w:r>
        <w:rPr>
          <w:szCs w:val="22"/>
        </w:rPr>
        <w:t>, while it is the only operational fuel used in the auxiliary boiler.  The maximum sulfur content of the No. 2 fuel oil used in all the units is 0.05%</w:t>
      </w:r>
      <w:r w:rsidR="009129D2">
        <w:rPr>
          <w:szCs w:val="22"/>
        </w:rPr>
        <w:t xml:space="preserve"> by weight</w:t>
      </w:r>
      <w:r>
        <w:rPr>
          <w:szCs w:val="22"/>
        </w:rPr>
        <w:t>.</w:t>
      </w:r>
    </w:p>
    <w:p w:rsidR="005B236F" w:rsidRDefault="005B236F" w:rsidP="005B236F">
      <w:pPr>
        <w:pStyle w:val="BodyText3"/>
        <w:numPr>
          <w:ilvl w:val="12"/>
          <w:numId w:val="0"/>
        </w:numPr>
        <w:spacing w:before="0"/>
        <w:rPr>
          <w:szCs w:val="22"/>
        </w:rPr>
      </w:pPr>
      <w:r w:rsidRPr="00994FAF">
        <w:rPr>
          <w:szCs w:val="22"/>
        </w:rPr>
        <w:t>Units 2</w:t>
      </w:r>
      <w:r w:rsidR="00C451C4">
        <w:rPr>
          <w:szCs w:val="22"/>
        </w:rPr>
        <w:t xml:space="preserve"> and</w:t>
      </w:r>
      <w:r w:rsidRPr="00994FAF">
        <w:rPr>
          <w:szCs w:val="22"/>
        </w:rPr>
        <w:t xml:space="preserve"> 3</w:t>
      </w:r>
      <w:r w:rsidR="00C451C4">
        <w:rPr>
          <w:szCs w:val="22"/>
        </w:rPr>
        <w:t xml:space="preserve"> </w:t>
      </w:r>
      <w:r w:rsidR="00C451C4" w:rsidRPr="00C451C4">
        <w:rPr>
          <w:szCs w:val="22"/>
        </w:rPr>
        <w:t xml:space="preserve">(EU 009 </w:t>
      </w:r>
      <w:r w:rsidR="00C451C4">
        <w:rPr>
          <w:szCs w:val="22"/>
        </w:rPr>
        <w:t>and</w:t>
      </w:r>
      <w:r w:rsidR="00C451C4" w:rsidRPr="00C451C4">
        <w:rPr>
          <w:szCs w:val="22"/>
        </w:rPr>
        <w:t xml:space="preserve"> 01</w:t>
      </w:r>
      <w:r w:rsidR="00C451C4">
        <w:rPr>
          <w:szCs w:val="22"/>
        </w:rPr>
        <w:t>0</w:t>
      </w:r>
      <w:r w:rsidR="00C451C4" w:rsidRPr="00C451C4">
        <w:rPr>
          <w:szCs w:val="22"/>
        </w:rPr>
        <w:t>)</w:t>
      </w:r>
      <w:r w:rsidR="00C451C4">
        <w:rPr>
          <w:szCs w:val="22"/>
        </w:rPr>
        <w:t xml:space="preserve"> at the facility are </w:t>
      </w:r>
      <w:r w:rsidR="00733BBB">
        <w:rPr>
          <w:szCs w:val="22"/>
        </w:rPr>
        <w:t>two</w:t>
      </w:r>
      <w:r w:rsidR="00C451C4" w:rsidRPr="00C451C4">
        <w:rPr>
          <w:szCs w:val="22"/>
        </w:rPr>
        <w:t xml:space="preserve"> 165 MW natural gas/fuel oil-fired GE 7FA simple cycle CTG</w:t>
      </w:r>
      <w:r w:rsidR="00C451C4">
        <w:rPr>
          <w:szCs w:val="22"/>
        </w:rPr>
        <w:t xml:space="preserve">, while Units 4 and </w:t>
      </w:r>
      <w:r w:rsidRPr="00994FAF">
        <w:rPr>
          <w:szCs w:val="22"/>
        </w:rPr>
        <w:t xml:space="preserve">5 </w:t>
      </w:r>
      <w:r>
        <w:rPr>
          <w:szCs w:val="22"/>
        </w:rPr>
        <w:t>(EU 0</w:t>
      </w:r>
      <w:r w:rsidR="00BB4B20">
        <w:rPr>
          <w:szCs w:val="22"/>
        </w:rPr>
        <w:t>11</w:t>
      </w:r>
      <w:r>
        <w:rPr>
          <w:szCs w:val="22"/>
        </w:rPr>
        <w:t xml:space="preserve"> </w:t>
      </w:r>
      <w:r w:rsidR="00733BBB">
        <w:rPr>
          <w:szCs w:val="22"/>
        </w:rPr>
        <w:t>and</w:t>
      </w:r>
      <w:r>
        <w:rPr>
          <w:szCs w:val="22"/>
        </w:rPr>
        <w:t xml:space="preserve"> 0</w:t>
      </w:r>
      <w:r w:rsidR="00BB4B20">
        <w:rPr>
          <w:szCs w:val="22"/>
        </w:rPr>
        <w:t>12</w:t>
      </w:r>
      <w:r>
        <w:rPr>
          <w:szCs w:val="22"/>
        </w:rPr>
        <w:t xml:space="preserve">) </w:t>
      </w:r>
      <w:r w:rsidR="00C451C4">
        <w:rPr>
          <w:szCs w:val="22"/>
        </w:rPr>
        <w:t>are</w:t>
      </w:r>
      <w:r w:rsidRPr="00994FAF">
        <w:rPr>
          <w:szCs w:val="22"/>
        </w:rPr>
        <w:t xml:space="preserve"> </w:t>
      </w:r>
      <w:r w:rsidR="00733BBB">
        <w:rPr>
          <w:szCs w:val="22"/>
        </w:rPr>
        <w:t xml:space="preserve">two </w:t>
      </w:r>
      <w:r>
        <w:rPr>
          <w:szCs w:val="22"/>
        </w:rPr>
        <w:t xml:space="preserve">165 MW </w:t>
      </w:r>
      <w:r w:rsidRPr="00994FAF">
        <w:rPr>
          <w:szCs w:val="22"/>
        </w:rPr>
        <w:t>natural gas</w:t>
      </w:r>
      <w:r w:rsidR="00C451C4">
        <w:rPr>
          <w:szCs w:val="22"/>
        </w:rPr>
        <w:t>-</w:t>
      </w:r>
      <w:r w:rsidRPr="00994FAF">
        <w:rPr>
          <w:szCs w:val="22"/>
        </w:rPr>
        <w:t>fired GE 7FA simple cycle CTG.</w:t>
      </w:r>
      <w:r>
        <w:rPr>
          <w:szCs w:val="22"/>
        </w:rPr>
        <w:t xml:space="preserve">  </w:t>
      </w:r>
    </w:p>
    <w:p w:rsidR="00193F10" w:rsidRPr="008B1DC5" w:rsidRDefault="001C4E37" w:rsidP="00511785">
      <w:pPr>
        <w:pStyle w:val="ListParagraph"/>
        <w:numPr>
          <w:ilvl w:val="0"/>
          <w:numId w:val="7"/>
        </w:numPr>
        <w:spacing w:after="120"/>
        <w:ind w:left="720" w:hanging="720"/>
        <w:rPr>
          <w:rFonts w:ascii="Times New Roman" w:hAnsi="Times New Roman" w:cs="Times New Roman"/>
          <w:b/>
          <w:caps/>
        </w:rPr>
      </w:pPr>
      <w:r w:rsidRPr="008B1DC5">
        <w:rPr>
          <w:rFonts w:ascii="Times New Roman" w:hAnsi="Times New Roman" w:cs="Times New Roman"/>
          <w:b/>
          <w:bCs/>
        </w:rPr>
        <w:t xml:space="preserve">Facility </w:t>
      </w:r>
      <w:r w:rsidR="00193F10" w:rsidRPr="008B1DC5">
        <w:rPr>
          <w:rFonts w:ascii="Times New Roman" w:hAnsi="Times New Roman" w:cs="Times New Roman"/>
          <w:b/>
          <w:bCs/>
        </w:rPr>
        <w:t>Regulatory Categories</w:t>
      </w:r>
    </w:p>
    <w:p w:rsidR="00F71458" w:rsidRPr="000620AB" w:rsidRDefault="00F71458" w:rsidP="00511785">
      <w:pPr>
        <w:numPr>
          <w:ilvl w:val="0"/>
          <w:numId w:val="1"/>
        </w:numPr>
        <w:spacing w:after="120"/>
        <w:rPr>
          <w:sz w:val="22"/>
          <w:szCs w:val="22"/>
        </w:rPr>
      </w:pPr>
      <w:r w:rsidRPr="000620AB">
        <w:rPr>
          <w:sz w:val="22"/>
          <w:szCs w:val="22"/>
        </w:rPr>
        <w:t xml:space="preserve">The facility is </w:t>
      </w:r>
      <w:r w:rsidR="00C81388">
        <w:rPr>
          <w:sz w:val="22"/>
          <w:szCs w:val="22"/>
        </w:rPr>
        <w:t xml:space="preserve">not </w:t>
      </w:r>
      <w:r w:rsidRPr="000620AB">
        <w:rPr>
          <w:sz w:val="22"/>
          <w:szCs w:val="22"/>
        </w:rPr>
        <w:t>a major source of hazardous air pollutants (HAP).</w:t>
      </w:r>
    </w:p>
    <w:p w:rsidR="00F71458" w:rsidRPr="000620AB" w:rsidRDefault="00F71458" w:rsidP="00511785">
      <w:pPr>
        <w:pStyle w:val="BodyText"/>
        <w:numPr>
          <w:ilvl w:val="0"/>
          <w:numId w:val="1"/>
        </w:numPr>
        <w:rPr>
          <w:sz w:val="22"/>
          <w:szCs w:val="22"/>
        </w:rPr>
      </w:pPr>
      <w:r w:rsidRPr="000620AB">
        <w:rPr>
          <w:sz w:val="22"/>
          <w:szCs w:val="22"/>
        </w:rPr>
        <w:t xml:space="preserve">The facility </w:t>
      </w:r>
      <w:r w:rsidR="00302267" w:rsidRPr="000620AB">
        <w:rPr>
          <w:sz w:val="22"/>
          <w:szCs w:val="22"/>
        </w:rPr>
        <w:t xml:space="preserve">operates </w:t>
      </w:r>
      <w:r w:rsidRPr="000620AB">
        <w:rPr>
          <w:sz w:val="22"/>
          <w:szCs w:val="22"/>
        </w:rPr>
        <w:t>units subject to the acid rain provisions of the Clean Air Act.</w:t>
      </w:r>
    </w:p>
    <w:p w:rsidR="00F71458" w:rsidRPr="000620AB" w:rsidRDefault="00F71458" w:rsidP="00511785">
      <w:pPr>
        <w:numPr>
          <w:ilvl w:val="0"/>
          <w:numId w:val="1"/>
        </w:numPr>
        <w:spacing w:after="120"/>
        <w:rPr>
          <w:sz w:val="22"/>
          <w:szCs w:val="22"/>
        </w:rPr>
      </w:pPr>
      <w:r w:rsidRPr="000620AB">
        <w:rPr>
          <w:sz w:val="22"/>
          <w:szCs w:val="22"/>
        </w:rPr>
        <w:t>The facility is a Title V major source of air pollution in accordance with Chapter 213, F.A.C.</w:t>
      </w:r>
    </w:p>
    <w:p w:rsidR="00F71458" w:rsidRDefault="00F71458" w:rsidP="00511785">
      <w:pPr>
        <w:numPr>
          <w:ilvl w:val="0"/>
          <w:numId w:val="1"/>
        </w:numPr>
        <w:spacing w:after="120"/>
        <w:rPr>
          <w:sz w:val="22"/>
          <w:szCs w:val="22"/>
        </w:rPr>
      </w:pPr>
      <w:r w:rsidRPr="000620AB">
        <w:rPr>
          <w:sz w:val="22"/>
          <w:szCs w:val="22"/>
        </w:rPr>
        <w:t>The facility is a major stationary source in accordance with Rule 62-212.400, F.A.C. for the Prevention of</w:t>
      </w:r>
      <w:r>
        <w:rPr>
          <w:sz w:val="22"/>
          <w:szCs w:val="22"/>
        </w:rPr>
        <w:t xml:space="preserve"> Significant Deterioration (PSD) of Air Quality.</w:t>
      </w:r>
    </w:p>
    <w:p w:rsidR="000620AB" w:rsidRDefault="000620AB" w:rsidP="00511785">
      <w:pPr>
        <w:numPr>
          <w:ilvl w:val="0"/>
          <w:numId w:val="1"/>
        </w:numPr>
        <w:spacing w:after="120"/>
        <w:rPr>
          <w:sz w:val="22"/>
          <w:szCs w:val="22"/>
        </w:rPr>
      </w:pPr>
      <w:r w:rsidRPr="001B1134">
        <w:rPr>
          <w:sz w:val="22"/>
          <w:szCs w:val="22"/>
        </w:rPr>
        <w:t xml:space="preserve">The facility operates units subject to the New Source Performance Standards </w:t>
      </w:r>
      <w:r>
        <w:rPr>
          <w:sz w:val="22"/>
          <w:szCs w:val="22"/>
        </w:rPr>
        <w:t>in Part</w:t>
      </w:r>
      <w:r w:rsidRPr="001B1134">
        <w:rPr>
          <w:sz w:val="22"/>
          <w:szCs w:val="22"/>
        </w:rPr>
        <w:t xml:space="preserve"> 60</w:t>
      </w:r>
      <w:r>
        <w:rPr>
          <w:sz w:val="22"/>
          <w:szCs w:val="22"/>
        </w:rPr>
        <w:t>, Title 40 of the Code of Federal Regulations</w:t>
      </w:r>
      <w:r w:rsidRPr="001B1134">
        <w:rPr>
          <w:sz w:val="22"/>
          <w:szCs w:val="22"/>
        </w:rPr>
        <w:t>.</w:t>
      </w:r>
    </w:p>
    <w:p w:rsidR="00193F10" w:rsidRPr="008B1DC5" w:rsidRDefault="00193F10" w:rsidP="00511785">
      <w:pPr>
        <w:pStyle w:val="ListParagraph"/>
        <w:numPr>
          <w:ilvl w:val="0"/>
          <w:numId w:val="8"/>
        </w:numPr>
        <w:spacing w:after="120"/>
        <w:ind w:left="720" w:hanging="720"/>
        <w:rPr>
          <w:rFonts w:ascii="Times New Roman" w:hAnsi="Times New Roman" w:cs="Times New Roman"/>
          <w:b/>
          <w:caps/>
        </w:rPr>
      </w:pPr>
      <w:r w:rsidRPr="008B1DC5">
        <w:rPr>
          <w:rFonts w:ascii="Times New Roman" w:hAnsi="Times New Roman" w:cs="Times New Roman"/>
          <w:b/>
          <w:bCs/>
        </w:rPr>
        <w:t>Project Description</w:t>
      </w:r>
    </w:p>
    <w:p w:rsidR="008F5D48" w:rsidRDefault="00506945" w:rsidP="00163F4C">
      <w:pPr>
        <w:numPr>
          <w:ilvl w:val="12"/>
          <w:numId w:val="0"/>
        </w:numPr>
        <w:spacing w:after="120"/>
        <w:rPr>
          <w:sz w:val="22"/>
          <w:szCs w:val="22"/>
        </w:rPr>
      </w:pPr>
      <w:r w:rsidRPr="008F5D48">
        <w:rPr>
          <w:sz w:val="22"/>
          <w:szCs w:val="22"/>
        </w:rPr>
        <w:t xml:space="preserve">On </w:t>
      </w:r>
      <w:r w:rsidR="00163F4C" w:rsidRPr="008F5D48">
        <w:rPr>
          <w:sz w:val="22"/>
          <w:szCs w:val="22"/>
        </w:rPr>
        <w:t>February 28</w:t>
      </w:r>
      <w:r w:rsidRPr="008F5D48">
        <w:rPr>
          <w:sz w:val="22"/>
          <w:szCs w:val="22"/>
        </w:rPr>
        <w:t>, 201</w:t>
      </w:r>
      <w:r w:rsidR="00163F4C" w:rsidRPr="008F5D48">
        <w:rPr>
          <w:sz w:val="22"/>
          <w:szCs w:val="22"/>
        </w:rPr>
        <w:t>2</w:t>
      </w:r>
      <w:r w:rsidRPr="008F5D48">
        <w:rPr>
          <w:sz w:val="22"/>
          <w:szCs w:val="22"/>
        </w:rPr>
        <w:t xml:space="preserve">, the Department received an application from TECO </w:t>
      </w:r>
      <w:r w:rsidR="001D022D" w:rsidRPr="008F5D48">
        <w:rPr>
          <w:sz w:val="22"/>
          <w:szCs w:val="22"/>
        </w:rPr>
        <w:t xml:space="preserve">to </w:t>
      </w:r>
      <w:r w:rsidR="00163F4C" w:rsidRPr="008F5D48">
        <w:rPr>
          <w:sz w:val="22"/>
          <w:szCs w:val="22"/>
        </w:rPr>
        <w:t xml:space="preserve">modify several permit conditions </w:t>
      </w:r>
      <w:r w:rsidR="003E0A7D" w:rsidRPr="008F5D48">
        <w:rPr>
          <w:sz w:val="22"/>
          <w:szCs w:val="22"/>
        </w:rPr>
        <w:t xml:space="preserve">in current Title V air operation </w:t>
      </w:r>
      <w:r w:rsidR="008F5D48">
        <w:rPr>
          <w:sz w:val="22"/>
          <w:szCs w:val="22"/>
        </w:rPr>
        <w:t>P</w:t>
      </w:r>
      <w:r w:rsidR="003E0A7D" w:rsidRPr="008F5D48">
        <w:rPr>
          <w:sz w:val="22"/>
          <w:szCs w:val="22"/>
        </w:rPr>
        <w:t xml:space="preserve">ermit </w:t>
      </w:r>
      <w:r w:rsidR="008F5D48">
        <w:rPr>
          <w:sz w:val="22"/>
          <w:szCs w:val="22"/>
        </w:rPr>
        <w:t xml:space="preserve">No. </w:t>
      </w:r>
      <w:r w:rsidR="003E0A7D" w:rsidRPr="008F5D48">
        <w:rPr>
          <w:sz w:val="22"/>
          <w:szCs w:val="22"/>
        </w:rPr>
        <w:t>1050233026-AV</w:t>
      </w:r>
      <w:r w:rsidR="008F5D48">
        <w:rPr>
          <w:sz w:val="22"/>
          <w:szCs w:val="22"/>
        </w:rPr>
        <w:t xml:space="preserve"> related to:</w:t>
      </w:r>
    </w:p>
    <w:p w:rsidR="008F5D48" w:rsidRPr="008F5D48" w:rsidRDefault="008F5D48" w:rsidP="008F5D48">
      <w:pPr>
        <w:pStyle w:val="ListParagraph"/>
        <w:numPr>
          <w:ilvl w:val="0"/>
          <w:numId w:val="56"/>
        </w:numPr>
        <w:spacing w:after="120"/>
        <w:rPr>
          <w:rFonts w:ascii="Times New Roman" w:hAnsi="Times New Roman" w:cs="Times New Roman"/>
        </w:rPr>
      </w:pPr>
      <w:r>
        <w:rPr>
          <w:rFonts w:ascii="Times New Roman" w:hAnsi="Times New Roman" w:cs="Times New Roman"/>
        </w:rPr>
        <w:t>T</w:t>
      </w:r>
      <w:r w:rsidR="005B236F" w:rsidRPr="008F5D48">
        <w:rPr>
          <w:rFonts w:ascii="Times New Roman" w:hAnsi="Times New Roman" w:cs="Times New Roman"/>
        </w:rPr>
        <w:t>he fuel sulfur monitoring</w:t>
      </w:r>
      <w:r w:rsidR="0088434E" w:rsidRPr="008F5D48">
        <w:rPr>
          <w:rFonts w:ascii="Times New Roman" w:hAnsi="Times New Roman" w:cs="Times New Roman"/>
        </w:rPr>
        <w:t xml:space="preserve"> requirement</w:t>
      </w:r>
      <w:r w:rsidR="005B236F" w:rsidRPr="008F5D48">
        <w:rPr>
          <w:rFonts w:ascii="Times New Roman" w:hAnsi="Times New Roman" w:cs="Times New Roman"/>
        </w:rPr>
        <w:t xml:space="preserve"> and sulfur dioxide</w:t>
      </w:r>
      <w:r w:rsidR="00FD288D" w:rsidRPr="008F5D48">
        <w:rPr>
          <w:rFonts w:ascii="Times New Roman" w:hAnsi="Times New Roman" w:cs="Times New Roman"/>
        </w:rPr>
        <w:t xml:space="preserve"> (SO</w:t>
      </w:r>
      <w:r w:rsidR="00FD288D" w:rsidRPr="008F5D48">
        <w:rPr>
          <w:rFonts w:ascii="Times New Roman" w:hAnsi="Times New Roman" w:cs="Times New Roman"/>
          <w:vertAlign w:val="subscript"/>
        </w:rPr>
        <w:t>2</w:t>
      </w:r>
      <w:r w:rsidR="00FD288D" w:rsidRPr="008F5D48">
        <w:rPr>
          <w:rFonts w:ascii="Times New Roman" w:hAnsi="Times New Roman" w:cs="Times New Roman"/>
        </w:rPr>
        <w:t>)</w:t>
      </w:r>
      <w:r w:rsidR="005B236F" w:rsidRPr="008F5D48">
        <w:rPr>
          <w:rFonts w:ascii="Times New Roman" w:hAnsi="Times New Roman" w:cs="Times New Roman"/>
        </w:rPr>
        <w:t xml:space="preserve"> emission limit for the auxiliary boiler (EU 003)</w:t>
      </w:r>
      <w:r w:rsidR="00FD288D" w:rsidRPr="008F5D48">
        <w:rPr>
          <w:rFonts w:ascii="Times New Roman" w:hAnsi="Times New Roman" w:cs="Times New Roman"/>
        </w:rPr>
        <w:t>;</w:t>
      </w:r>
    </w:p>
    <w:p w:rsidR="008F5D48" w:rsidRPr="008F5D48" w:rsidRDefault="008F5D48" w:rsidP="008F5D48">
      <w:pPr>
        <w:pStyle w:val="ListParagraph"/>
        <w:numPr>
          <w:ilvl w:val="0"/>
          <w:numId w:val="56"/>
        </w:numPr>
        <w:spacing w:after="120"/>
        <w:rPr>
          <w:rFonts w:ascii="Times New Roman" w:hAnsi="Times New Roman" w:cs="Times New Roman"/>
        </w:rPr>
      </w:pPr>
      <w:r>
        <w:rPr>
          <w:rFonts w:ascii="Times New Roman" w:hAnsi="Times New Roman" w:cs="Times New Roman"/>
        </w:rPr>
        <w:t>T</w:t>
      </w:r>
      <w:r w:rsidR="003E0A7D" w:rsidRPr="008F5D48">
        <w:rPr>
          <w:rFonts w:ascii="Times New Roman" w:hAnsi="Times New Roman" w:cs="Times New Roman"/>
        </w:rPr>
        <w:t xml:space="preserve">he limits by weight pertaining to </w:t>
      </w:r>
      <w:r w:rsidR="009129D2" w:rsidRPr="008F5D48">
        <w:rPr>
          <w:rFonts w:ascii="Times New Roman" w:hAnsi="Times New Roman" w:cs="Times New Roman"/>
        </w:rPr>
        <w:t xml:space="preserve">the </w:t>
      </w:r>
      <w:r w:rsidR="003E0A7D" w:rsidRPr="008F5D48">
        <w:rPr>
          <w:rFonts w:ascii="Times New Roman" w:hAnsi="Times New Roman" w:cs="Times New Roman"/>
        </w:rPr>
        <w:t>blend of petroleum coke</w:t>
      </w:r>
      <w:r w:rsidR="00740680" w:rsidRPr="008F5D48">
        <w:rPr>
          <w:rFonts w:ascii="Times New Roman" w:hAnsi="Times New Roman" w:cs="Times New Roman"/>
        </w:rPr>
        <w:t xml:space="preserve"> and </w:t>
      </w:r>
      <w:r w:rsidR="003E0A7D" w:rsidRPr="008F5D48">
        <w:rPr>
          <w:rFonts w:ascii="Times New Roman" w:hAnsi="Times New Roman" w:cs="Times New Roman"/>
        </w:rPr>
        <w:t>coal used in the entrained flow solid fuel gasification system (EU 006)</w:t>
      </w:r>
      <w:r w:rsidR="00FD288D" w:rsidRPr="008F5D48">
        <w:rPr>
          <w:rFonts w:ascii="Times New Roman" w:hAnsi="Times New Roman" w:cs="Times New Roman"/>
        </w:rPr>
        <w:t>;</w:t>
      </w:r>
    </w:p>
    <w:p w:rsidR="008F5D48" w:rsidRPr="008F5D48" w:rsidRDefault="008F5D48" w:rsidP="008F5D48">
      <w:pPr>
        <w:pStyle w:val="ListParagraph"/>
        <w:numPr>
          <w:ilvl w:val="0"/>
          <w:numId w:val="56"/>
        </w:numPr>
        <w:spacing w:after="120"/>
        <w:rPr>
          <w:rFonts w:ascii="Times New Roman" w:hAnsi="Times New Roman" w:cs="Times New Roman"/>
        </w:rPr>
      </w:pPr>
      <w:r>
        <w:rPr>
          <w:rFonts w:ascii="Times New Roman" w:hAnsi="Times New Roman" w:cs="Times New Roman"/>
        </w:rPr>
        <w:t>T</w:t>
      </w:r>
      <w:r w:rsidR="00FD288D" w:rsidRPr="008F5D48">
        <w:rPr>
          <w:rFonts w:ascii="Times New Roman" w:hAnsi="Times New Roman" w:cs="Times New Roman"/>
        </w:rPr>
        <w:t xml:space="preserve">he </w:t>
      </w:r>
      <w:r w:rsidR="003E0A7D" w:rsidRPr="008F5D48">
        <w:rPr>
          <w:rFonts w:ascii="Times New Roman" w:hAnsi="Times New Roman" w:cs="Times New Roman"/>
        </w:rPr>
        <w:t>nitrogen oxide (NO</w:t>
      </w:r>
      <w:r w:rsidR="003E0A7D" w:rsidRPr="008F5D48">
        <w:rPr>
          <w:rFonts w:ascii="Times New Roman" w:hAnsi="Times New Roman" w:cs="Times New Roman"/>
          <w:vertAlign w:val="subscript"/>
        </w:rPr>
        <w:t>X</w:t>
      </w:r>
      <w:r w:rsidR="003E0A7D" w:rsidRPr="008F5D48">
        <w:rPr>
          <w:rFonts w:ascii="Times New Roman" w:hAnsi="Times New Roman" w:cs="Times New Roman"/>
        </w:rPr>
        <w:t xml:space="preserve">) emissions </w:t>
      </w:r>
      <w:r w:rsidR="00923758" w:rsidRPr="008F5D48">
        <w:rPr>
          <w:rFonts w:ascii="Times New Roman" w:hAnsi="Times New Roman" w:cs="Times New Roman"/>
        </w:rPr>
        <w:t xml:space="preserve">reporting </w:t>
      </w:r>
      <w:r w:rsidR="003E0A7D" w:rsidRPr="008F5D48">
        <w:rPr>
          <w:rFonts w:ascii="Times New Roman" w:hAnsi="Times New Roman" w:cs="Times New Roman"/>
        </w:rPr>
        <w:t xml:space="preserve">when firing natural gas and fuel oil in </w:t>
      </w:r>
      <w:r w:rsidR="00012F10" w:rsidRPr="008F5D48">
        <w:rPr>
          <w:rFonts w:ascii="Times New Roman" w:hAnsi="Times New Roman" w:cs="Times New Roman"/>
        </w:rPr>
        <w:t xml:space="preserve">two of </w:t>
      </w:r>
      <w:r w:rsidR="003E0A7D" w:rsidRPr="008F5D48">
        <w:rPr>
          <w:rFonts w:ascii="Times New Roman" w:hAnsi="Times New Roman" w:cs="Times New Roman"/>
        </w:rPr>
        <w:t xml:space="preserve">the 160 MW </w:t>
      </w:r>
      <w:r w:rsidR="00923758" w:rsidRPr="008F5D48">
        <w:rPr>
          <w:rFonts w:ascii="Times New Roman" w:hAnsi="Times New Roman" w:cs="Times New Roman"/>
        </w:rPr>
        <w:t xml:space="preserve">simple cycle </w:t>
      </w:r>
      <w:r w:rsidR="00012F10" w:rsidRPr="008F5D48">
        <w:rPr>
          <w:rFonts w:ascii="Times New Roman" w:hAnsi="Times New Roman" w:cs="Times New Roman"/>
        </w:rPr>
        <w:t>CTG</w:t>
      </w:r>
      <w:r w:rsidR="00FD288D" w:rsidRPr="008F5D48">
        <w:rPr>
          <w:rFonts w:ascii="Times New Roman" w:hAnsi="Times New Roman" w:cs="Times New Roman"/>
        </w:rPr>
        <w:t xml:space="preserve"> (EU 009 and 010);</w:t>
      </w:r>
    </w:p>
    <w:p w:rsidR="008F5D48" w:rsidRPr="008F5D48" w:rsidRDefault="008F5D48" w:rsidP="008F5D48">
      <w:pPr>
        <w:pStyle w:val="ListParagraph"/>
        <w:numPr>
          <w:ilvl w:val="0"/>
          <w:numId w:val="56"/>
        </w:numPr>
        <w:spacing w:after="120"/>
        <w:rPr>
          <w:rFonts w:ascii="Times New Roman" w:hAnsi="Times New Roman" w:cs="Times New Roman"/>
        </w:rPr>
      </w:pPr>
      <w:r>
        <w:rPr>
          <w:rFonts w:ascii="Times New Roman" w:hAnsi="Times New Roman" w:cs="Times New Roman"/>
        </w:rPr>
        <w:t>T</w:t>
      </w:r>
      <w:r w:rsidR="003E0A7D" w:rsidRPr="008F5D48">
        <w:rPr>
          <w:rFonts w:ascii="Times New Roman" w:hAnsi="Times New Roman" w:cs="Times New Roman"/>
        </w:rPr>
        <w:t xml:space="preserve">he fuel monitoring schedule for </w:t>
      </w:r>
      <w:r w:rsidR="00012F10" w:rsidRPr="008F5D48">
        <w:rPr>
          <w:rFonts w:ascii="Times New Roman" w:hAnsi="Times New Roman" w:cs="Times New Roman"/>
        </w:rPr>
        <w:t>these same CTG</w:t>
      </w:r>
      <w:r w:rsidR="00FD288D" w:rsidRPr="008F5D48">
        <w:rPr>
          <w:rFonts w:ascii="Times New Roman" w:hAnsi="Times New Roman" w:cs="Times New Roman"/>
        </w:rPr>
        <w:t>; and</w:t>
      </w:r>
    </w:p>
    <w:p w:rsidR="00163F4C" w:rsidRPr="008F5D48" w:rsidRDefault="003E0A7D" w:rsidP="00163F4C">
      <w:pPr>
        <w:numPr>
          <w:ilvl w:val="12"/>
          <w:numId w:val="0"/>
        </w:numPr>
        <w:spacing w:after="120"/>
        <w:rPr>
          <w:sz w:val="22"/>
          <w:szCs w:val="22"/>
        </w:rPr>
      </w:pPr>
      <w:r w:rsidRPr="008F5D48">
        <w:rPr>
          <w:sz w:val="22"/>
          <w:szCs w:val="22"/>
        </w:rPr>
        <w:t xml:space="preserve">These </w:t>
      </w:r>
      <w:r w:rsidR="00923758" w:rsidRPr="008F5D48">
        <w:rPr>
          <w:sz w:val="22"/>
          <w:szCs w:val="22"/>
        </w:rPr>
        <w:t>revisions</w:t>
      </w:r>
      <w:r w:rsidRPr="008F5D48">
        <w:rPr>
          <w:sz w:val="22"/>
          <w:szCs w:val="22"/>
        </w:rPr>
        <w:t xml:space="preserve"> require changing several permit conditions in</w:t>
      </w:r>
      <w:r w:rsidR="00163F4C" w:rsidRPr="008F5D48">
        <w:rPr>
          <w:sz w:val="22"/>
          <w:szCs w:val="22"/>
        </w:rPr>
        <w:t xml:space="preserve"> previously issued PSD permits</w:t>
      </w:r>
      <w:r w:rsidR="008F5D48">
        <w:rPr>
          <w:sz w:val="22"/>
          <w:szCs w:val="22"/>
        </w:rPr>
        <w:t xml:space="preserve"> and t</w:t>
      </w:r>
      <w:r w:rsidR="001F61FB" w:rsidRPr="008F5D48">
        <w:rPr>
          <w:sz w:val="22"/>
          <w:szCs w:val="22"/>
        </w:rPr>
        <w:t xml:space="preserve">he applicant submitted a request for a concurrent </w:t>
      </w:r>
      <w:r w:rsidR="00FD288D" w:rsidRPr="008F5D48">
        <w:rPr>
          <w:sz w:val="22"/>
          <w:szCs w:val="22"/>
        </w:rPr>
        <w:t>a</w:t>
      </w:r>
      <w:r w:rsidR="001F61FB" w:rsidRPr="008F5D48">
        <w:rPr>
          <w:sz w:val="22"/>
          <w:szCs w:val="22"/>
        </w:rPr>
        <w:t xml:space="preserve">ir </w:t>
      </w:r>
      <w:r w:rsidR="00FD288D" w:rsidRPr="008F5D48">
        <w:rPr>
          <w:sz w:val="22"/>
          <w:szCs w:val="22"/>
        </w:rPr>
        <w:t>c</w:t>
      </w:r>
      <w:r w:rsidR="001F61FB" w:rsidRPr="008F5D48">
        <w:rPr>
          <w:sz w:val="22"/>
          <w:szCs w:val="22"/>
        </w:rPr>
        <w:t xml:space="preserve">onstruction </w:t>
      </w:r>
      <w:r w:rsidR="00FD288D" w:rsidRPr="008F5D48">
        <w:rPr>
          <w:sz w:val="22"/>
          <w:szCs w:val="22"/>
        </w:rPr>
        <w:t>p</w:t>
      </w:r>
      <w:r w:rsidR="001F61FB" w:rsidRPr="008F5D48">
        <w:rPr>
          <w:sz w:val="22"/>
          <w:szCs w:val="22"/>
        </w:rPr>
        <w:t>ermit revision to make these changes to the PSD permits on March 8, 2012.</w:t>
      </w:r>
      <w:r w:rsidR="00AD1E8D" w:rsidRPr="008F5D48">
        <w:rPr>
          <w:sz w:val="22"/>
          <w:szCs w:val="22"/>
        </w:rPr>
        <w:t xml:space="preserve">  </w:t>
      </w:r>
      <w:r w:rsidR="00740680" w:rsidRPr="008F5D48">
        <w:rPr>
          <w:sz w:val="22"/>
          <w:szCs w:val="22"/>
        </w:rPr>
        <w:t xml:space="preserve">On May 9, 2012 a draft/proposed permit package for this project was issued by the Department.  Subsequently, TECO has requested four extension of time to petition for a formal administrative hearing for this permit package.  The </w:t>
      </w:r>
      <w:r w:rsidR="00E45BD3" w:rsidRPr="008F5D48">
        <w:rPr>
          <w:sz w:val="22"/>
          <w:szCs w:val="22"/>
        </w:rPr>
        <w:t>latest</w:t>
      </w:r>
      <w:r w:rsidR="00740680" w:rsidRPr="008F5D48">
        <w:rPr>
          <w:sz w:val="22"/>
          <w:szCs w:val="22"/>
        </w:rPr>
        <w:t xml:space="preserve"> extension runs through September 7, 2012.</w:t>
      </w:r>
    </w:p>
    <w:p w:rsidR="005B236F" w:rsidRPr="008F5530" w:rsidRDefault="005B236F" w:rsidP="005B236F">
      <w:pPr>
        <w:numPr>
          <w:ilvl w:val="12"/>
          <w:numId w:val="0"/>
        </w:numPr>
        <w:spacing w:after="120"/>
        <w:rPr>
          <w:sz w:val="22"/>
          <w:szCs w:val="22"/>
        </w:rPr>
      </w:pPr>
      <w:r w:rsidRPr="00163F4C">
        <w:rPr>
          <w:sz w:val="22"/>
          <w:szCs w:val="22"/>
        </w:rPr>
        <w:t xml:space="preserve">On </w:t>
      </w:r>
      <w:r>
        <w:rPr>
          <w:sz w:val="22"/>
          <w:szCs w:val="22"/>
        </w:rPr>
        <w:t>May</w:t>
      </w:r>
      <w:r w:rsidRPr="00163F4C">
        <w:rPr>
          <w:sz w:val="22"/>
          <w:szCs w:val="22"/>
        </w:rPr>
        <w:t xml:space="preserve"> </w:t>
      </w:r>
      <w:r>
        <w:rPr>
          <w:sz w:val="22"/>
          <w:szCs w:val="22"/>
        </w:rPr>
        <w:t>21</w:t>
      </w:r>
      <w:r w:rsidRPr="00163F4C">
        <w:rPr>
          <w:sz w:val="22"/>
          <w:szCs w:val="22"/>
        </w:rPr>
        <w:t xml:space="preserve">, 2012, the Department received from TECO </w:t>
      </w:r>
      <w:r w:rsidR="00FD288D">
        <w:rPr>
          <w:sz w:val="22"/>
          <w:szCs w:val="22"/>
        </w:rPr>
        <w:t xml:space="preserve">an </w:t>
      </w:r>
      <w:r>
        <w:rPr>
          <w:sz w:val="22"/>
          <w:szCs w:val="22"/>
        </w:rPr>
        <w:t xml:space="preserve">application for concurrent air construction permit and Title V air operation permit revisions </w:t>
      </w:r>
      <w:r w:rsidR="003A492C">
        <w:rPr>
          <w:sz w:val="22"/>
          <w:szCs w:val="22"/>
        </w:rPr>
        <w:t xml:space="preserve">regarding </w:t>
      </w:r>
      <w:r>
        <w:rPr>
          <w:sz w:val="22"/>
          <w:szCs w:val="22"/>
        </w:rPr>
        <w:t>startup, augmentation</w:t>
      </w:r>
      <w:r w:rsidR="003A492C">
        <w:rPr>
          <w:sz w:val="22"/>
          <w:szCs w:val="22"/>
        </w:rPr>
        <w:t>,</w:t>
      </w:r>
      <w:r>
        <w:rPr>
          <w:sz w:val="22"/>
          <w:szCs w:val="22"/>
        </w:rPr>
        <w:t xml:space="preserve"> and backup fuels used in Unit 1 (the IGCC Plant).  Specifically, it was requested that pipeline natural gas replace the propane </w:t>
      </w:r>
      <w:r>
        <w:rPr>
          <w:sz w:val="22"/>
          <w:szCs w:val="22"/>
        </w:rPr>
        <w:lastRenderedPageBreak/>
        <w:t xml:space="preserve">currently used as the startup fuel for the </w:t>
      </w:r>
      <w:r w:rsidRPr="00673E1F">
        <w:rPr>
          <w:sz w:val="22"/>
          <w:szCs w:val="22"/>
        </w:rPr>
        <w:t>solid fuel gasifi</w:t>
      </w:r>
      <w:r>
        <w:rPr>
          <w:sz w:val="22"/>
          <w:szCs w:val="22"/>
        </w:rPr>
        <w:t>cation system</w:t>
      </w:r>
      <w:r w:rsidR="00740680">
        <w:rPr>
          <w:sz w:val="22"/>
          <w:szCs w:val="22"/>
        </w:rPr>
        <w:t xml:space="preserve"> preheater burners</w:t>
      </w:r>
      <w:r>
        <w:rPr>
          <w:sz w:val="22"/>
          <w:szCs w:val="22"/>
        </w:rPr>
        <w:t xml:space="preserve"> and the </w:t>
      </w:r>
      <w:r w:rsidR="003E2FCA">
        <w:rPr>
          <w:sz w:val="22"/>
          <w:szCs w:val="22"/>
        </w:rPr>
        <w:t>SAP</w:t>
      </w:r>
      <w:r>
        <w:rPr>
          <w:sz w:val="22"/>
          <w:szCs w:val="22"/>
        </w:rPr>
        <w:t xml:space="preserve"> burners.  Additionally, it was requested that natural gas replace the No. 2 fuel oil used as the backup fuel for the </w:t>
      </w:r>
      <w:r w:rsidR="00BC2743">
        <w:rPr>
          <w:sz w:val="22"/>
          <w:szCs w:val="22"/>
        </w:rPr>
        <w:t>CCCT</w:t>
      </w:r>
      <w:r>
        <w:rPr>
          <w:sz w:val="22"/>
          <w:szCs w:val="22"/>
        </w:rPr>
        <w:t xml:space="preserve"> </w:t>
      </w:r>
      <w:r w:rsidR="00BB4B20">
        <w:rPr>
          <w:sz w:val="22"/>
          <w:szCs w:val="22"/>
        </w:rPr>
        <w:t>while also allowing</w:t>
      </w:r>
      <w:r>
        <w:rPr>
          <w:sz w:val="22"/>
          <w:szCs w:val="22"/>
        </w:rPr>
        <w:t xml:space="preserve"> natural gas </w:t>
      </w:r>
      <w:r w:rsidR="00BB4B20">
        <w:rPr>
          <w:sz w:val="22"/>
          <w:szCs w:val="22"/>
        </w:rPr>
        <w:t>to</w:t>
      </w:r>
      <w:r>
        <w:rPr>
          <w:sz w:val="22"/>
          <w:szCs w:val="22"/>
        </w:rPr>
        <w:t xml:space="preserve"> be used to augmentation syngas firing </w:t>
      </w:r>
      <w:r w:rsidR="00BB4B20">
        <w:rPr>
          <w:sz w:val="22"/>
          <w:szCs w:val="22"/>
        </w:rPr>
        <w:t xml:space="preserve">as required </w:t>
      </w:r>
      <w:r>
        <w:rPr>
          <w:sz w:val="22"/>
          <w:szCs w:val="22"/>
        </w:rPr>
        <w:t xml:space="preserve">in the </w:t>
      </w:r>
      <w:r w:rsidR="00BC2743">
        <w:rPr>
          <w:sz w:val="22"/>
          <w:szCs w:val="22"/>
        </w:rPr>
        <w:t>CCCT</w:t>
      </w:r>
      <w:r>
        <w:rPr>
          <w:sz w:val="22"/>
          <w:szCs w:val="22"/>
        </w:rPr>
        <w:t xml:space="preserve">.  Finally, it was requested that natural gas replace No.2 fuel oil as the only allowable fuel </w:t>
      </w:r>
      <w:r w:rsidR="00BB4B20">
        <w:rPr>
          <w:sz w:val="22"/>
          <w:szCs w:val="22"/>
        </w:rPr>
        <w:t>used in</w:t>
      </w:r>
      <w:r>
        <w:rPr>
          <w:sz w:val="22"/>
          <w:szCs w:val="22"/>
        </w:rPr>
        <w:t xml:space="preserve"> the auxiliary boiler.  The m</w:t>
      </w:r>
      <w:r w:rsidRPr="008F5530">
        <w:rPr>
          <w:sz w:val="22"/>
          <w:szCs w:val="22"/>
        </w:rPr>
        <w:t xml:space="preserve">ajor components of the oil-to-natural gas conversion project </w:t>
      </w:r>
      <w:r>
        <w:rPr>
          <w:sz w:val="22"/>
          <w:szCs w:val="22"/>
        </w:rPr>
        <w:t>are</w:t>
      </w:r>
      <w:r w:rsidRPr="008F5530">
        <w:rPr>
          <w:sz w:val="22"/>
          <w:szCs w:val="22"/>
        </w:rPr>
        <w:t>:</w:t>
      </w:r>
    </w:p>
    <w:p w:rsidR="005B236F" w:rsidRPr="008F5530" w:rsidRDefault="005B236F" w:rsidP="003A492C">
      <w:pPr>
        <w:pStyle w:val="ListParagraph"/>
        <w:numPr>
          <w:ilvl w:val="0"/>
          <w:numId w:val="58"/>
        </w:numPr>
        <w:spacing w:after="120" w:line="240" w:lineRule="auto"/>
        <w:contextualSpacing w:val="0"/>
        <w:rPr>
          <w:rFonts w:ascii="Times New Roman" w:hAnsi="Times New Roman" w:cs="Times New Roman"/>
        </w:rPr>
      </w:pPr>
      <w:r w:rsidRPr="008F5530">
        <w:rPr>
          <w:rFonts w:ascii="Times New Roman" w:hAnsi="Times New Roman" w:cs="Times New Roman"/>
        </w:rPr>
        <w:t>Combustion of natural gas instead of No. 2 fuel oil in the auxiliary boiler;</w:t>
      </w:r>
    </w:p>
    <w:p w:rsidR="005B236F" w:rsidRPr="008F5530" w:rsidRDefault="005B236F" w:rsidP="003A492C">
      <w:pPr>
        <w:pStyle w:val="ListParagraph"/>
        <w:numPr>
          <w:ilvl w:val="0"/>
          <w:numId w:val="58"/>
        </w:numPr>
        <w:spacing w:after="120" w:line="240" w:lineRule="auto"/>
        <w:contextualSpacing w:val="0"/>
        <w:rPr>
          <w:rFonts w:ascii="Times New Roman" w:hAnsi="Times New Roman" w:cs="Times New Roman"/>
        </w:rPr>
      </w:pPr>
      <w:r w:rsidRPr="008F5530">
        <w:rPr>
          <w:rFonts w:ascii="Times New Roman" w:hAnsi="Times New Roman" w:cs="Times New Roman"/>
        </w:rPr>
        <w:t xml:space="preserve">Combustion of natural gas instead of propane in the </w:t>
      </w:r>
      <w:r w:rsidR="003E2FCA">
        <w:rPr>
          <w:rFonts w:ascii="Times New Roman" w:hAnsi="Times New Roman" w:cs="Times New Roman"/>
        </w:rPr>
        <w:t>SAP</w:t>
      </w:r>
      <w:r w:rsidRPr="008F5530">
        <w:rPr>
          <w:rFonts w:ascii="Times New Roman" w:hAnsi="Times New Roman" w:cs="Times New Roman"/>
        </w:rPr>
        <w:t xml:space="preserve"> </w:t>
      </w:r>
      <w:r>
        <w:rPr>
          <w:rFonts w:ascii="Times New Roman" w:hAnsi="Times New Roman" w:cs="Times New Roman"/>
        </w:rPr>
        <w:t>hydrogen sulfide (</w:t>
      </w:r>
      <w:r w:rsidRPr="008F5530">
        <w:rPr>
          <w:rFonts w:ascii="Times New Roman" w:hAnsi="Times New Roman" w:cs="Times New Roman"/>
        </w:rPr>
        <w:t>H</w:t>
      </w:r>
      <w:r w:rsidRPr="008F5530">
        <w:rPr>
          <w:rFonts w:ascii="Times New Roman" w:hAnsi="Times New Roman" w:cs="Times New Roman"/>
          <w:vertAlign w:val="subscript"/>
        </w:rPr>
        <w:t>2</w:t>
      </w:r>
      <w:r w:rsidRPr="008F5530">
        <w:rPr>
          <w:rFonts w:ascii="Times New Roman" w:hAnsi="Times New Roman" w:cs="Times New Roman"/>
        </w:rPr>
        <w:t>S</w:t>
      </w:r>
      <w:r>
        <w:rPr>
          <w:rFonts w:ascii="Times New Roman" w:hAnsi="Times New Roman" w:cs="Times New Roman"/>
        </w:rPr>
        <w:t>)</w:t>
      </w:r>
      <w:r w:rsidRPr="008F5530">
        <w:rPr>
          <w:rFonts w:ascii="Times New Roman" w:hAnsi="Times New Roman" w:cs="Times New Roman"/>
        </w:rPr>
        <w:t xml:space="preserve"> to </w:t>
      </w:r>
      <w:r>
        <w:rPr>
          <w:rFonts w:ascii="Times New Roman" w:hAnsi="Times New Roman" w:cs="Times New Roman"/>
        </w:rPr>
        <w:t>sulfur dioxide (</w:t>
      </w:r>
      <w:r w:rsidRPr="008F5530">
        <w:rPr>
          <w:rFonts w:ascii="Times New Roman" w:hAnsi="Times New Roman" w:cs="Times New Roman"/>
        </w:rPr>
        <w:t>SO</w:t>
      </w:r>
      <w:r w:rsidRPr="008F5530">
        <w:rPr>
          <w:rFonts w:ascii="Times New Roman" w:hAnsi="Times New Roman" w:cs="Times New Roman"/>
          <w:vertAlign w:val="subscript"/>
        </w:rPr>
        <w:t>2</w:t>
      </w:r>
      <w:r>
        <w:rPr>
          <w:rFonts w:ascii="Times New Roman" w:hAnsi="Times New Roman" w:cs="Times New Roman"/>
        </w:rPr>
        <w:t xml:space="preserve">) </w:t>
      </w:r>
      <w:r w:rsidRPr="008F5530">
        <w:rPr>
          <w:rFonts w:ascii="Times New Roman" w:hAnsi="Times New Roman" w:cs="Times New Roman"/>
        </w:rPr>
        <w:t>conversion furnace</w:t>
      </w:r>
      <w:r>
        <w:rPr>
          <w:rFonts w:ascii="Times New Roman" w:hAnsi="Times New Roman" w:cs="Times New Roman"/>
        </w:rPr>
        <w:t xml:space="preserve"> burners</w:t>
      </w:r>
      <w:r w:rsidRPr="008F5530">
        <w:rPr>
          <w:rFonts w:ascii="Times New Roman" w:hAnsi="Times New Roman" w:cs="Times New Roman"/>
        </w:rPr>
        <w:t xml:space="preserve"> and the </w:t>
      </w:r>
      <w:r w:rsidR="003E2FCA">
        <w:rPr>
          <w:rFonts w:ascii="Times New Roman" w:hAnsi="Times New Roman" w:cs="Times New Roman"/>
        </w:rPr>
        <w:t>SAP</w:t>
      </w:r>
      <w:r w:rsidRPr="008F5530">
        <w:rPr>
          <w:rFonts w:ascii="Times New Roman" w:hAnsi="Times New Roman" w:cs="Times New Roman"/>
        </w:rPr>
        <w:t xml:space="preserve"> SO</w:t>
      </w:r>
      <w:r w:rsidRPr="008F5530">
        <w:rPr>
          <w:rFonts w:ascii="Times New Roman" w:hAnsi="Times New Roman" w:cs="Times New Roman"/>
          <w:vertAlign w:val="subscript"/>
        </w:rPr>
        <w:t>2</w:t>
      </w:r>
      <w:r w:rsidRPr="008F5530">
        <w:rPr>
          <w:rFonts w:ascii="Times New Roman" w:hAnsi="Times New Roman" w:cs="Times New Roman"/>
        </w:rPr>
        <w:t xml:space="preserve"> to </w:t>
      </w:r>
      <w:r>
        <w:rPr>
          <w:rFonts w:ascii="Times New Roman" w:hAnsi="Times New Roman" w:cs="Times New Roman"/>
        </w:rPr>
        <w:t>s</w:t>
      </w:r>
      <w:r w:rsidRPr="007079BF">
        <w:rPr>
          <w:rFonts w:ascii="Times New Roman" w:hAnsi="Times New Roman" w:cs="Times New Roman"/>
        </w:rPr>
        <w:t xml:space="preserve">ulfur trioxide </w:t>
      </w:r>
      <w:r>
        <w:rPr>
          <w:rFonts w:ascii="Times New Roman" w:hAnsi="Times New Roman" w:cs="Times New Roman"/>
        </w:rPr>
        <w:t>(</w:t>
      </w:r>
      <w:r w:rsidRPr="008F5530">
        <w:rPr>
          <w:rFonts w:ascii="Times New Roman" w:hAnsi="Times New Roman" w:cs="Times New Roman"/>
        </w:rPr>
        <w:t>SO</w:t>
      </w:r>
      <w:r w:rsidRPr="008F5530">
        <w:rPr>
          <w:rFonts w:ascii="Times New Roman" w:hAnsi="Times New Roman" w:cs="Times New Roman"/>
          <w:vertAlign w:val="subscript"/>
        </w:rPr>
        <w:t>3</w:t>
      </w:r>
      <w:r>
        <w:rPr>
          <w:rFonts w:ascii="Times New Roman" w:hAnsi="Times New Roman" w:cs="Times New Roman"/>
        </w:rPr>
        <w:t>) converter preheater burners;</w:t>
      </w:r>
    </w:p>
    <w:p w:rsidR="005B236F" w:rsidRPr="008F5530" w:rsidRDefault="005B236F" w:rsidP="003A492C">
      <w:pPr>
        <w:pStyle w:val="ListParagraph"/>
        <w:numPr>
          <w:ilvl w:val="0"/>
          <w:numId w:val="58"/>
        </w:numPr>
        <w:spacing w:after="120" w:line="240" w:lineRule="auto"/>
        <w:contextualSpacing w:val="0"/>
        <w:rPr>
          <w:rFonts w:ascii="Times New Roman" w:hAnsi="Times New Roman" w:cs="Times New Roman"/>
        </w:rPr>
      </w:pPr>
      <w:r w:rsidRPr="008F5530">
        <w:rPr>
          <w:rFonts w:ascii="Times New Roman" w:hAnsi="Times New Roman" w:cs="Times New Roman"/>
        </w:rPr>
        <w:t xml:space="preserve">Combustion of natural gas instead of propane in the </w:t>
      </w:r>
      <w:r>
        <w:rPr>
          <w:rFonts w:ascii="Times New Roman" w:hAnsi="Times New Roman" w:cs="Times New Roman"/>
        </w:rPr>
        <w:t>solid fuel</w:t>
      </w:r>
      <w:r w:rsidRPr="008F5530">
        <w:rPr>
          <w:rFonts w:ascii="Times New Roman" w:hAnsi="Times New Roman" w:cs="Times New Roman"/>
        </w:rPr>
        <w:t xml:space="preserve"> gasifier preheater;</w:t>
      </w:r>
    </w:p>
    <w:p w:rsidR="005B236F" w:rsidRPr="008F5530" w:rsidRDefault="005B236F" w:rsidP="003A492C">
      <w:pPr>
        <w:pStyle w:val="ListParagraph"/>
        <w:numPr>
          <w:ilvl w:val="0"/>
          <w:numId w:val="58"/>
        </w:numPr>
        <w:spacing w:after="120" w:line="240" w:lineRule="auto"/>
        <w:contextualSpacing w:val="0"/>
        <w:rPr>
          <w:rFonts w:ascii="Times New Roman" w:hAnsi="Times New Roman" w:cs="Times New Roman"/>
        </w:rPr>
      </w:pPr>
      <w:r w:rsidRPr="008F5530">
        <w:rPr>
          <w:rFonts w:ascii="Times New Roman" w:hAnsi="Times New Roman" w:cs="Times New Roman"/>
        </w:rPr>
        <w:t xml:space="preserve">Use of natural gas instead of No. 2 fuel oil as a back-up fuel for </w:t>
      </w:r>
      <w:r>
        <w:rPr>
          <w:rFonts w:ascii="Times New Roman" w:hAnsi="Times New Roman" w:cs="Times New Roman"/>
        </w:rPr>
        <w:t xml:space="preserve">the </w:t>
      </w:r>
      <w:r w:rsidR="00BC2743">
        <w:rPr>
          <w:rFonts w:ascii="Times New Roman" w:hAnsi="Times New Roman" w:cs="Times New Roman"/>
        </w:rPr>
        <w:t>CCCT</w:t>
      </w:r>
      <w:r w:rsidRPr="008F5530">
        <w:rPr>
          <w:rFonts w:ascii="Times New Roman" w:hAnsi="Times New Roman" w:cs="Times New Roman"/>
        </w:rPr>
        <w:t>; and</w:t>
      </w:r>
    </w:p>
    <w:p w:rsidR="005B236F" w:rsidRDefault="005B236F" w:rsidP="003A492C">
      <w:pPr>
        <w:pStyle w:val="ListParagraph"/>
        <w:numPr>
          <w:ilvl w:val="0"/>
          <w:numId w:val="58"/>
        </w:numPr>
        <w:spacing w:after="120" w:line="240" w:lineRule="auto"/>
        <w:contextualSpacing w:val="0"/>
        <w:rPr>
          <w:rFonts w:ascii="Times New Roman" w:hAnsi="Times New Roman" w:cs="Times New Roman"/>
        </w:rPr>
      </w:pPr>
      <w:r>
        <w:rPr>
          <w:rFonts w:ascii="Times New Roman" w:hAnsi="Times New Roman" w:cs="Times New Roman"/>
        </w:rPr>
        <w:t>That n</w:t>
      </w:r>
      <w:r w:rsidRPr="008F5530">
        <w:rPr>
          <w:rFonts w:ascii="Times New Roman" w:hAnsi="Times New Roman" w:cs="Times New Roman"/>
        </w:rPr>
        <w:t xml:space="preserve">atural gas </w:t>
      </w:r>
      <w:r>
        <w:rPr>
          <w:rFonts w:ascii="Times New Roman" w:hAnsi="Times New Roman" w:cs="Times New Roman"/>
        </w:rPr>
        <w:t xml:space="preserve">can be allowed to be used to </w:t>
      </w:r>
      <w:r w:rsidRPr="008F5530">
        <w:rPr>
          <w:rFonts w:ascii="Times New Roman" w:hAnsi="Times New Roman" w:cs="Times New Roman"/>
        </w:rPr>
        <w:t xml:space="preserve">augmentation </w:t>
      </w:r>
      <w:r>
        <w:rPr>
          <w:rFonts w:ascii="Times New Roman" w:hAnsi="Times New Roman" w:cs="Times New Roman"/>
        </w:rPr>
        <w:t>syngas firing in</w:t>
      </w:r>
      <w:r w:rsidRPr="008F5530">
        <w:rPr>
          <w:rFonts w:ascii="Times New Roman" w:hAnsi="Times New Roman" w:cs="Times New Roman"/>
        </w:rPr>
        <w:t xml:space="preserve"> </w:t>
      </w:r>
      <w:r>
        <w:rPr>
          <w:rFonts w:ascii="Times New Roman" w:hAnsi="Times New Roman" w:cs="Times New Roman"/>
        </w:rPr>
        <w:t xml:space="preserve">the </w:t>
      </w:r>
      <w:r w:rsidR="00BC2743">
        <w:rPr>
          <w:rFonts w:ascii="Times New Roman" w:hAnsi="Times New Roman" w:cs="Times New Roman"/>
        </w:rPr>
        <w:t>CCCT</w:t>
      </w:r>
      <w:r w:rsidRPr="008F5530">
        <w:rPr>
          <w:rFonts w:ascii="Times New Roman" w:hAnsi="Times New Roman" w:cs="Times New Roman"/>
        </w:rPr>
        <w:t>.</w:t>
      </w:r>
    </w:p>
    <w:p w:rsidR="006D5B6F" w:rsidRDefault="00A05AFB" w:rsidP="005B236F">
      <w:pPr>
        <w:pStyle w:val="ListParagraph"/>
        <w:spacing w:after="120" w:line="240" w:lineRule="auto"/>
        <w:ind w:left="0"/>
        <w:contextualSpacing w:val="0"/>
        <w:rPr>
          <w:rFonts w:ascii="Times New Roman" w:hAnsi="Times New Roman" w:cs="Times New Roman"/>
        </w:rPr>
      </w:pPr>
      <w:r>
        <w:rPr>
          <w:rFonts w:ascii="Times New Roman" w:hAnsi="Times New Roman" w:cs="Times New Roman"/>
        </w:rPr>
        <w:t xml:space="preserve">The applicant provided the following description of the </w:t>
      </w:r>
      <w:r w:rsidR="006D5B6F">
        <w:rPr>
          <w:rFonts w:ascii="Times New Roman" w:hAnsi="Times New Roman" w:cs="Times New Roman"/>
        </w:rPr>
        <w:t>syngas/natural gas burner system</w:t>
      </w:r>
      <w:r>
        <w:rPr>
          <w:rFonts w:ascii="Times New Roman" w:hAnsi="Times New Roman" w:cs="Times New Roman"/>
        </w:rPr>
        <w:t xml:space="preserve"> that will be used in the CCCT of Unit 1.  In addition, the applicant explained</w:t>
      </w:r>
      <w:r w:rsidR="006D5B6F">
        <w:rPr>
          <w:rFonts w:ascii="Times New Roman" w:hAnsi="Times New Roman" w:cs="Times New Roman"/>
        </w:rPr>
        <w:t xml:space="preserve"> the </w:t>
      </w:r>
      <w:r>
        <w:rPr>
          <w:rFonts w:ascii="Times New Roman" w:hAnsi="Times New Roman" w:cs="Times New Roman"/>
        </w:rPr>
        <w:t>reason</w:t>
      </w:r>
      <w:r w:rsidR="006D5B6F">
        <w:rPr>
          <w:rFonts w:ascii="Times New Roman" w:hAnsi="Times New Roman" w:cs="Times New Roman"/>
        </w:rPr>
        <w:t xml:space="preserve"> </w:t>
      </w:r>
      <w:r>
        <w:rPr>
          <w:rFonts w:ascii="Times New Roman" w:hAnsi="Times New Roman" w:cs="Times New Roman"/>
        </w:rPr>
        <w:t>why a DLN (Dry Low-NO</w:t>
      </w:r>
      <w:r w:rsidRPr="006D5B6F">
        <w:rPr>
          <w:rFonts w:ascii="Times New Roman" w:hAnsi="Times New Roman" w:cs="Times New Roman"/>
          <w:vertAlign w:val="subscript"/>
        </w:rPr>
        <w:t>X</w:t>
      </w:r>
      <w:r>
        <w:rPr>
          <w:rFonts w:ascii="Times New Roman" w:hAnsi="Times New Roman" w:cs="Times New Roman"/>
        </w:rPr>
        <w:t xml:space="preserve">) </w:t>
      </w:r>
      <w:r w:rsidR="006D5B6F">
        <w:rPr>
          <w:rFonts w:ascii="Times New Roman" w:hAnsi="Times New Roman" w:cs="Times New Roman"/>
        </w:rPr>
        <w:t xml:space="preserve">control system </w:t>
      </w:r>
      <w:r>
        <w:rPr>
          <w:rFonts w:ascii="Times New Roman" w:hAnsi="Times New Roman" w:cs="Times New Roman"/>
        </w:rPr>
        <w:t>cannot be used to control NO</w:t>
      </w:r>
      <w:r w:rsidRPr="006D5B6F">
        <w:rPr>
          <w:rFonts w:ascii="Times New Roman" w:hAnsi="Times New Roman" w:cs="Times New Roman"/>
          <w:vertAlign w:val="subscript"/>
        </w:rPr>
        <w:t>X</w:t>
      </w:r>
      <w:r>
        <w:rPr>
          <w:rFonts w:ascii="Times New Roman" w:hAnsi="Times New Roman" w:cs="Times New Roman"/>
        </w:rPr>
        <w:t xml:space="preserve"> emissions from the</w:t>
      </w:r>
      <w:r w:rsidR="006D5B6F">
        <w:rPr>
          <w:rFonts w:ascii="Times New Roman" w:hAnsi="Times New Roman" w:cs="Times New Roman"/>
        </w:rPr>
        <w:t xml:space="preserve"> CCCT</w:t>
      </w:r>
      <w:r>
        <w:rPr>
          <w:rFonts w:ascii="Times New Roman" w:hAnsi="Times New Roman" w:cs="Times New Roman"/>
        </w:rPr>
        <w:t>.</w:t>
      </w:r>
    </w:p>
    <w:p w:rsidR="006D5B6F" w:rsidRDefault="006D5B6F" w:rsidP="006D5B6F">
      <w:pPr>
        <w:pStyle w:val="ListParagraph"/>
        <w:spacing w:after="120"/>
        <w:ind w:left="0"/>
        <w:contextualSpacing w:val="0"/>
        <w:rPr>
          <w:rFonts w:ascii="Times New Roman" w:hAnsi="Times New Roman" w:cs="Times New Roman"/>
          <w:i/>
        </w:rPr>
      </w:pPr>
      <w:r>
        <w:rPr>
          <w:rFonts w:ascii="Times New Roman" w:hAnsi="Times New Roman" w:cs="Times New Roman"/>
          <w:i/>
        </w:rPr>
        <w:t>“</w:t>
      </w:r>
      <w:r w:rsidRPr="006D5B6F">
        <w:rPr>
          <w:rFonts w:ascii="Times New Roman" w:hAnsi="Times New Roman" w:cs="Times New Roman"/>
          <w:i/>
        </w:rPr>
        <w:t xml:space="preserve">The two systems (syngas and natural gas) will share a burner assembly. </w:t>
      </w:r>
      <w:r>
        <w:rPr>
          <w:rFonts w:ascii="Times New Roman" w:hAnsi="Times New Roman" w:cs="Times New Roman"/>
          <w:i/>
        </w:rPr>
        <w:t xml:space="preserve"> </w:t>
      </w:r>
      <w:r w:rsidRPr="006D5B6F">
        <w:rPr>
          <w:rFonts w:ascii="Times New Roman" w:hAnsi="Times New Roman" w:cs="Times New Roman"/>
          <w:i/>
        </w:rPr>
        <w:t>Our syngas multi – nozzle quiet</w:t>
      </w:r>
      <w:r>
        <w:rPr>
          <w:rFonts w:ascii="Times New Roman" w:hAnsi="Times New Roman" w:cs="Times New Roman"/>
          <w:i/>
        </w:rPr>
        <w:t xml:space="preserve"> </w:t>
      </w:r>
      <w:r w:rsidRPr="006D5B6F">
        <w:rPr>
          <w:rFonts w:ascii="Times New Roman" w:hAnsi="Times New Roman" w:cs="Times New Roman"/>
          <w:i/>
        </w:rPr>
        <w:t xml:space="preserve">combustion (MNQC) nozzles will be used for both syngas and natural gas. </w:t>
      </w:r>
      <w:r>
        <w:rPr>
          <w:rFonts w:ascii="Times New Roman" w:hAnsi="Times New Roman" w:cs="Times New Roman"/>
          <w:i/>
        </w:rPr>
        <w:t xml:space="preserve"> </w:t>
      </w:r>
      <w:r w:rsidRPr="006D5B6F">
        <w:rPr>
          <w:rFonts w:ascii="Times New Roman" w:hAnsi="Times New Roman" w:cs="Times New Roman"/>
          <w:i/>
        </w:rPr>
        <w:t>DLN nozzles cannot be combined</w:t>
      </w:r>
      <w:r>
        <w:rPr>
          <w:rFonts w:ascii="Times New Roman" w:hAnsi="Times New Roman" w:cs="Times New Roman"/>
          <w:i/>
        </w:rPr>
        <w:t xml:space="preserve"> </w:t>
      </w:r>
      <w:r w:rsidRPr="006D5B6F">
        <w:rPr>
          <w:rFonts w:ascii="Times New Roman" w:hAnsi="Times New Roman" w:cs="Times New Roman"/>
          <w:i/>
        </w:rPr>
        <w:t>with MNQC nozzles so both the syngas and natural gas will need to run through these type of nozzles.</w:t>
      </w:r>
      <w:r>
        <w:rPr>
          <w:rFonts w:ascii="Times New Roman" w:hAnsi="Times New Roman" w:cs="Times New Roman"/>
          <w:i/>
        </w:rPr>
        <w:t xml:space="preserve">  </w:t>
      </w:r>
    </w:p>
    <w:p w:rsidR="006D5B6F" w:rsidRDefault="006D5B6F" w:rsidP="006D5B6F">
      <w:pPr>
        <w:pStyle w:val="ListParagraph"/>
        <w:spacing w:after="120"/>
        <w:ind w:left="0"/>
        <w:contextualSpacing w:val="0"/>
        <w:rPr>
          <w:rFonts w:ascii="Times New Roman" w:hAnsi="Times New Roman" w:cs="Times New Roman"/>
        </w:rPr>
      </w:pPr>
      <w:r w:rsidRPr="006D5B6F">
        <w:rPr>
          <w:rFonts w:ascii="Times New Roman" w:hAnsi="Times New Roman" w:cs="Times New Roman"/>
          <w:i/>
        </w:rPr>
        <w:t>In the MNQC used for syngas, the combustion zone downstream of the fuel nozzles is relatively open, i.e., when</w:t>
      </w:r>
      <w:r>
        <w:rPr>
          <w:rFonts w:ascii="Times New Roman" w:hAnsi="Times New Roman" w:cs="Times New Roman"/>
          <w:i/>
        </w:rPr>
        <w:t xml:space="preserve"> </w:t>
      </w:r>
      <w:r w:rsidRPr="006D5B6F">
        <w:rPr>
          <w:rFonts w:ascii="Times New Roman" w:hAnsi="Times New Roman" w:cs="Times New Roman"/>
          <w:i/>
        </w:rPr>
        <w:t xml:space="preserve">the fuel leaves its nozzle, it burns in a relatively open area. </w:t>
      </w:r>
      <w:r>
        <w:rPr>
          <w:rFonts w:ascii="Times New Roman" w:hAnsi="Times New Roman" w:cs="Times New Roman"/>
          <w:i/>
        </w:rPr>
        <w:t xml:space="preserve"> </w:t>
      </w:r>
      <w:r w:rsidRPr="006D5B6F">
        <w:rPr>
          <w:rFonts w:ascii="Times New Roman" w:hAnsi="Times New Roman" w:cs="Times New Roman"/>
          <w:i/>
        </w:rPr>
        <w:t>In DLN combustors, the combustion zone is more</w:t>
      </w:r>
      <w:r>
        <w:rPr>
          <w:rFonts w:ascii="Times New Roman" w:hAnsi="Times New Roman" w:cs="Times New Roman"/>
          <w:i/>
        </w:rPr>
        <w:t xml:space="preserve"> </w:t>
      </w:r>
      <w:r w:rsidRPr="006D5B6F">
        <w:rPr>
          <w:rFonts w:ascii="Times New Roman" w:hAnsi="Times New Roman" w:cs="Times New Roman"/>
          <w:i/>
        </w:rPr>
        <w:t xml:space="preserve">complicated. </w:t>
      </w:r>
      <w:r>
        <w:rPr>
          <w:rFonts w:ascii="Times New Roman" w:hAnsi="Times New Roman" w:cs="Times New Roman"/>
          <w:i/>
        </w:rPr>
        <w:t xml:space="preserve"> </w:t>
      </w:r>
      <w:r w:rsidRPr="006D5B6F">
        <w:rPr>
          <w:rFonts w:ascii="Times New Roman" w:hAnsi="Times New Roman" w:cs="Times New Roman"/>
          <w:i/>
        </w:rPr>
        <w:t>It includes a relatively large premix zone where some of the gas and air are combined prior to</w:t>
      </w:r>
      <w:r>
        <w:rPr>
          <w:rFonts w:ascii="Times New Roman" w:hAnsi="Times New Roman" w:cs="Times New Roman"/>
          <w:i/>
        </w:rPr>
        <w:t xml:space="preserve"> </w:t>
      </w:r>
      <w:r w:rsidRPr="006D5B6F">
        <w:rPr>
          <w:rFonts w:ascii="Times New Roman" w:hAnsi="Times New Roman" w:cs="Times New Roman"/>
          <w:i/>
        </w:rPr>
        <w:t>combustion (staged combustion).</w:t>
      </w:r>
      <w:r>
        <w:rPr>
          <w:rFonts w:ascii="Times New Roman" w:hAnsi="Times New Roman" w:cs="Times New Roman"/>
          <w:i/>
        </w:rPr>
        <w:t xml:space="preserve"> </w:t>
      </w:r>
      <w:r w:rsidRPr="006D5B6F">
        <w:rPr>
          <w:rFonts w:ascii="Times New Roman" w:hAnsi="Times New Roman" w:cs="Times New Roman"/>
          <w:i/>
        </w:rPr>
        <w:t xml:space="preserve"> Manufacturers have not been able to develop DLN combustion systems to</w:t>
      </w:r>
      <w:r>
        <w:rPr>
          <w:rFonts w:ascii="Times New Roman" w:hAnsi="Times New Roman" w:cs="Times New Roman"/>
          <w:i/>
        </w:rPr>
        <w:t xml:space="preserve"> </w:t>
      </w:r>
      <w:r w:rsidRPr="006D5B6F">
        <w:rPr>
          <w:rFonts w:ascii="Times New Roman" w:hAnsi="Times New Roman" w:cs="Times New Roman"/>
          <w:i/>
        </w:rPr>
        <w:t>accommodate syngas because the high flame speed of hydrogen (a major constituent of the syngas) causes the</w:t>
      </w:r>
      <w:r>
        <w:rPr>
          <w:rFonts w:ascii="Times New Roman" w:hAnsi="Times New Roman" w:cs="Times New Roman"/>
          <w:i/>
        </w:rPr>
        <w:t xml:space="preserve"> </w:t>
      </w:r>
      <w:r w:rsidRPr="006D5B6F">
        <w:rPr>
          <w:rFonts w:ascii="Times New Roman" w:hAnsi="Times New Roman" w:cs="Times New Roman"/>
          <w:i/>
        </w:rPr>
        <w:t xml:space="preserve">flame to backfire into the premix zone. </w:t>
      </w:r>
      <w:r>
        <w:rPr>
          <w:rFonts w:ascii="Times New Roman" w:hAnsi="Times New Roman" w:cs="Times New Roman"/>
          <w:i/>
        </w:rPr>
        <w:t xml:space="preserve"> </w:t>
      </w:r>
      <w:r w:rsidRPr="006D5B6F">
        <w:rPr>
          <w:rFonts w:ascii="Times New Roman" w:hAnsi="Times New Roman" w:cs="Times New Roman"/>
          <w:i/>
        </w:rPr>
        <w:t>Another practical reason why syngas and natural gas cannot be combined</w:t>
      </w:r>
      <w:r>
        <w:rPr>
          <w:rFonts w:ascii="Times New Roman" w:hAnsi="Times New Roman" w:cs="Times New Roman"/>
          <w:i/>
        </w:rPr>
        <w:t xml:space="preserve"> </w:t>
      </w:r>
      <w:r w:rsidRPr="006D5B6F">
        <w:rPr>
          <w:rFonts w:ascii="Times New Roman" w:hAnsi="Times New Roman" w:cs="Times New Roman"/>
          <w:i/>
        </w:rPr>
        <w:t>in a DLN system in a 7F turbine is that fuel piping to a DLN combustion can be much more complicated than to</w:t>
      </w:r>
      <w:r>
        <w:rPr>
          <w:rFonts w:ascii="Times New Roman" w:hAnsi="Times New Roman" w:cs="Times New Roman"/>
          <w:i/>
        </w:rPr>
        <w:t xml:space="preserve"> </w:t>
      </w:r>
      <w:r w:rsidRPr="006D5B6F">
        <w:rPr>
          <w:rFonts w:ascii="Times New Roman" w:hAnsi="Times New Roman" w:cs="Times New Roman"/>
          <w:i/>
        </w:rPr>
        <w:t xml:space="preserve">a MNQC system and syngas piping is much larger than natural gas piping. </w:t>
      </w:r>
      <w:r>
        <w:rPr>
          <w:rFonts w:ascii="Times New Roman" w:hAnsi="Times New Roman" w:cs="Times New Roman"/>
          <w:i/>
        </w:rPr>
        <w:t xml:space="preserve"> </w:t>
      </w:r>
      <w:r w:rsidRPr="006D5B6F">
        <w:rPr>
          <w:rFonts w:ascii="Times New Roman" w:hAnsi="Times New Roman" w:cs="Times New Roman"/>
          <w:i/>
        </w:rPr>
        <w:t>This means that there is not enough</w:t>
      </w:r>
      <w:r>
        <w:rPr>
          <w:rFonts w:ascii="Times New Roman" w:hAnsi="Times New Roman" w:cs="Times New Roman"/>
          <w:i/>
        </w:rPr>
        <w:t xml:space="preserve"> </w:t>
      </w:r>
      <w:r w:rsidRPr="006D5B6F">
        <w:rPr>
          <w:rFonts w:ascii="Times New Roman" w:hAnsi="Times New Roman" w:cs="Times New Roman"/>
          <w:i/>
        </w:rPr>
        <w:t>room for both syngas and natural gas piping onto and around the end cover.</w:t>
      </w:r>
      <w:r>
        <w:rPr>
          <w:rFonts w:ascii="Times New Roman" w:hAnsi="Times New Roman" w:cs="Times New Roman"/>
          <w:i/>
        </w:rPr>
        <w:t>”</w:t>
      </w:r>
    </w:p>
    <w:p w:rsidR="00A05AFB" w:rsidRDefault="00A05AFB" w:rsidP="006D5B6F">
      <w:pPr>
        <w:pStyle w:val="ListParagraph"/>
        <w:spacing w:after="120"/>
        <w:ind w:left="0"/>
        <w:contextualSpacing w:val="0"/>
        <w:rPr>
          <w:rFonts w:ascii="Times New Roman" w:hAnsi="Times New Roman" w:cs="Times New Roman"/>
        </w:rPr>
      </w:pPr>
      <w:r>
        <w:rPr>
          <w:rFonts w:ascii="Times New Roman" w:hAnsi="Times New Roman" w:cs="Times New Roman"/>
        </w:rPr>
        <w:t>The applicant provided the following description of the type of NO</w:t>
      </w:r>
      <w:r w:rsidRPr="00A05AFB">
        <w:rPr>
          <w:rFonts w:ascii="Times New Roman" w:hAnsi="Times New Roman" w:cs="Times New Roman"/>
          <w:vertAlign w:val="subscript"/>
        </w:rPr>
        <w:t>X</w:t>
      </w:r>
      <w:r>
        <w:rPr>
          <w:rFonts w:ascii="Times New Roman" w:hAnsi="Times New Roman" w:cs="Times New Roman"/>
        </w:rPr>
        <w:t xml:space="preserve"> control that will be used in the CCCT:</w:t>
      </w:r>
    </w:p>
    <w:p w:rsidR="00A05AFB" w:rsidRPr="00A05AFB" w:rsidRDefault="00A05AFB" w:rsidP="00A05AFB">
      <w:pPr>
        <w:pStyle w:val="ListParagraph"/>
        <w:spacing w:after="120"/>
        <w:ind w:left="0"/>
        <w:contextualSpacing w:val="0"/>
        <w:rPr>
          <w:rFonts w:ascii="Times New Roman" w:hAnsi="Times New Roman" w:cs="Times New Roman"/>
          <w:i/>
        </w:rPr>
      </w:pPr>
      <w:r>
        <w:rPr>
          <w:rFonts w:ascii="Times New Roman" w:hAnsi="Times New Roman" w:cs="Times New Roman"/>
          <w:i/>
        </w:rPr>
        <w:t>“</w:t>
      </w:r>
      <w:r w:rsidRPr="00A05AFB">
        <w:rPr>
          <w:rFonts w:ascii="Times New Roman" w:hAnsi="Times New Roman" w:cs="Times New Roman"/>
          <w:i/>
        </w:rPr>
        <w:t>When syngas is running, NO</w:t>
      </w:r>
      <w:r w:rsidRPr="00A05AFB">
        <w:rPr>
          <w:rFonts w:ascii="Times New Roman" w:hAnsi="Times New Roman" w:cs="Times New Roman"/>
          <w:i/>
          <w:vertAlign w:val="subscript"/>
        </w:rPr>
        <w:t>X</w:t>
      </w:r>
      <w:r w:rsidRPr="00A05AFB">
        <w:rPr>
          <w:rFonts w:ascii="Times New Roman" w:hAnsi="Times New Roman" w:cs="Times New Roman"/>
          <w:i/>
        </w:rPr>
        <w:t xml:space="preserve"> is controlled by nitrogen injection, supplemented by some water vapor introduced</w:t>
      </w:r>
      <w:r>
        <w:rPr>
          <w:rFonts w:ascii="Times New Roman" w:hAnsi="Times New Roman" w:cs="Times New Roman"/>
          <w:i/>
        </w:rPr>
        <w:t xml:space="preserve"> </w:t>
      </w:r>
      <w:r w:rsidRPr="00A05AFB">
        <w:rPr>
          <w:rFonts w:ascii="Times New Roman" w:hAnsi="Times New Roman" w:cs="Times New Roman"/>
          <w:i/>
        </w:rPr>
        <w:t xml:space="preserve">into the syngas saturator. </w:t>
      </w:r>
      <w:r>
        <w:rPr>
          <w:rFonts w:ascii="Times New Roman" w:hAnsi="Times New Roman" w:cs="Times New Roman"/>
          <w:i/>
        </w:rPr>
        <w:t xml:space="preserve"> T</w:t>
      </w:r>
      <w:r w:rsidRPr="00A05AFB">
        <w:rPr>
          <w:rFonts w:ascii="Times New Roman" w:hAnsi="Times New Roman" w:cs="Times New Roman"/>
          <w:i/>
        </w:rPr>
        <w:t xml:space="preserve">his is the case if syngas is running alone or with some natural gas augmentation. </w:t>
      </w:r>
      <w:r>
        <w:rPr>
          <w:rFonts w:ascii="Times New Roman" w:hAnsi="Times New Roman" w:cs="Times New Roman"/>
          <w:i/>
        </w:rPr>
        <w:t xml:space="preserve"> </w:t>
      </w:r>
      <w:r w:rsidRPr="00A05AFB">
        <w:rPr>
          <w:rFonts w:ascii="Times New Roman" w:hAnsi="Times New Roman" w:cs="Times New Roman"/>
          <w:i/>
        </w:rPr>
        <w:t>When</w:t>
      </w:r>
      <w:r>
        <w:rPr>
          <w:rFonts w:ascii="Times New Roman" w:hAnsi="Times New Roman" w:cs="Times New Roman"/>
          <w:i/>
        </w:rPr>
        <w:t xml:space="preserve"> </w:t>
      </w:r>
      <w:r w:rsidRPr="00A05AFB">
        <w:rPr>
          <w:rFonts w:ascii="Times New Roman" w:hAnsi="Times New Roman" w:cs="Times New Roman"/>
          <w:i/>
        </w:rPr>
        <w:t>natural gas is running, NO</w:t>
      </w:r>
      <w:r w:rsidRPr="00A05AFB">
        <w:rPr>
          <w:rFonts w:ascii="Times New Roman" w:hAnsi="Times New Roman" w:cs="Times New Roman"/>
          <w:i/>
          <w:vertAlign w:val="subscript"/>
        </w:rPr>
        <w:t>X</w:t>
      </w:r>
      <w:r w:rsidRPr="00A05AFB">
        <w:rPr>
          <w:rFonts w:ascii="Times New Roman" w:hAnsi="Times New Roman" w:cs="Times New Roman"/>
          <w:i/>
        </w:rPr>
        <w:t xml:space="preserve"> is controlled with steam injection alone.</w:t>
      </w:r>
      <w:r>
        <w:rPr>
          <w:rFonts w:ascii="Times New Roman" w:hAnsi="Times New Roman" w:cs="Times New Roman"/>
          <w:i/>
        </w:rPr>
        <w:t>”</w:t>
      </w:r>
    </w:p>
    <w:p w:rsidR="005B236F" w:rsidRPr="008F5530" w:rsidRDefault="005B236F" w:rsidP="005B236F">
      <w:pPr>
        <w:pStyle w:val="ListParagraph"/>
        <w:spacing w:after="120" w:line="240" w:lineRule="auto"/>
        <w:ind w:left="0"/>
        <w:contextualSpacing w:val="0"/>
        <w:rPr>
          <w:rFonts w:ascii="Times New Roman" w:hAnsi="Times New Roman" w:cs="Times New Roman"/>
        </w:rPr>
      </w:pPr>
      <w:r w:rsidRPr="00F86154">
        <w:rPr>
          <w:rFonts w:ascii="Times New Roman" w:hAnsi="Times New Roman" w:cs="Times New Roman"/>
        </w:rPr>
        <w:t xml:space="preserve">In addition, the applicant has requested that the heat input rate </w:t>
      </w:r>
      <w:r>
        <w:rPr>
          <w:rFonts w:ascii="Times New Roman" w:hAnsi="Times New Roman" w:cs="Times New Roman"/>
        </w:rPr>
        <w:t xml:space="preserve">for the </w:t>
      </w:r>
      <w:r w:rsidR="00BC2743">
        <w:rPr>
          <w:rFonts w:ascii="Times New Roman" w:hAnsi="Times New Roman" w:cs="Times New Roman"/>
        </w:rPr>
        <w:t>CCCT</w:t>
      </w:r>
      <w:r>
        <w:rPr>
          <w:rFonts w:ascii="Times New Roman" w:hAnsi="Times New Roman" w:cs="Times New Roman"/>
        </w:rPr>
        <w:t xml:space="preserve"> </w:t>
      </w:r>
      <w:r w:rsidRPr="00F86154">
        <w:rPr>
          <w:rFonts w:ascii="Times New Roman" w:hAnsi="Times New Roman" w:cs="Times New Roman"/>
        </w:rPr>
        <w:t>which is currently set at a maximum of 1,755 MMBtu/hr when firing syngas and 1,765 MMBtu/hr when firing No. 2 fuel oil at an ambient temperature of 59 degrees Fahrenheit (ºF) be changed to a nominal heat input rating</w:t>
      </w:r>
      <w:r>
        <w:rPr>
          <w:rFonts w:ascii="Times New Roman" w:hAnsi="Times New Roman" w:cs="Times New Roman"/>
        </w:rPr>
        <w:t xml:space="preserve"> basis.  The nominal rate would be </w:t>
      </w:r>
      <w:r w:rsidRPr="00F86154">
        <w:rPr>
          <w:rFonts w:ascii="Times New Roman" w:hAnsi="Times New Roman" w:cs="Times New Roman"/>
        </w:rPr>
        <w:t xml:space="preserve">1,642 MMBtu/hr at 59 ºF when firing syngas, natural gas or syngas augmented by natural gas.  The applicant also requested that stack testing for compliance purposes be limited to within 10 </w:t>
      </w:r>
      <w:r w:rsidR="003A492C">
        <w:rPr>
          <w:rFonts w:ascii="Times New Roman" w:hAnsi="Times New Roman" w:cs="Times New Roman"/>
        </w:rPr>
        <w:t xml:space="preserve">% </w:t>
      </w:r>
      <w:r w:rsidRPr="00F86154">
        <w:rPr>
          <w:rFonts w:ascii="Times New Roman" w:hAnsi="Times New Roman" w:cs="Times New Roman"/>
        </w:rPr>
        <w:t xml:space="preserve">of the nominal heat input rate and that manufacturer’s curves approved by the Department may be utilized to establish </w:t>
      </w:r>
      <w:r>
        <w:rPr>
          <w:rFonts w:ascii="Times New Roman" w:hAnsi="Times New Roman" w:cs="Times New Roman"/>
        </w:rPr>
        <w:t xml:space="preserve">the </w:t>
      </w:r>
      <w:r w:rsidRPr="00F86154">
        <w:rPr>
          <w:rFonts w:ascii="Times New Roman" w:hAnsi="Times New Roman" w:cs="Times New Roman"/>
        </w:rPr>
        <w:t>nominal maximum heat input rates for compliance determination</w:t>
      </w:r>
      <w:r>
        <w:rPr>
          <w:rFonts w:ascii="Times New Roman" w:hAnsi="Times New Roman" w:cs="Times New Roman"/>
        </w:rPr>
        <w:t xml:space="preserve"> purposes</w:t>
      </w:r>
      <w:r w:rsidRPr="00F86154">
        <w:rPr>
          <w:rFonts w:ascii="Times New Roman" w:hAnsi="Times New Roman" w:cs="Times New Roman"/>
        </w:rPr>
        <w:t>.</w:t>
      </w:r>
    </w:p>
    <w:p w:rsidR="005B236F" w:rsidRDefault="005B236F" w:rsidP="005B236F">
      <w:pPr>
        <w:numPr>
          <w:ilvl w:val="12"/>
          <w:numId w:val="0"/>
        </w:numPr>
        <w:spacing w:after="120"/>
        <w:rPr>
          <w:sz w:val="22"/>
          <w:szCs w:val="22"/>
        </w:rPr>
      </w:pPr>
      <w:r>
        <w:rPr>
          <w:sz w:val="22"/>
          <w:szCs w:val="22"/>
        </w:rPr>
        <w:lastRenderedPageBreak/>
        <w:t xml:space="preserve">On July 18, 2012, TECO requested that the above described projects be combined into a single project.  TECO made this request because the two projects are interrelated.  </w:t>
      </w:r>
      <w:r w:rsidRPr="005B236F">
        <w:rPr>
          <w:sz w:val="22"/>
          <w:szCs w:val="22"/>
        </w:rPr>
        <w:t xml:space="preserve">Once the conversion of Unit 1 to natural gas is completed, the fuel oil sulfur monitoring </w:t>
      </w:r>
      <w:r w:rsidR="002B4D67">
        <w:rPr>
          <w:sz w:val="22"/>
          <w:szCs w:val="22"/>
        </w:rPr>
        <w:t xml:space="preserve">requirement </w:t>
      </w:r>
      <w:r w:rsidRPr="005B236F">
        <w:rPr>
          <w:sz w:val="22"/>
          <w:szCs w:val="22"/>
        </w:rPr>
        <w:t>and sulfur dioxide emission limit permit changes relating to the auxiliary boil</w:t>
      </w:r>
      <w:r>
        <w:rPr>
          <w:sz w:val="22"/>
          <w:szCs w:val="22"/>
        </w:rPr>
        <w:t xml:space="preserve">er (EU 003) requested in the February 28, 2012 permit application </w:t>
      </w:r>
      <w:r w:rsidRPr="005B236F">
        <w:rPr>
          <w:sz w:val="22"/>
          <w:szCs w:val="22"/>
        </w:rPr>
        <w:t xml:space="preserve">will become obsolete and superseded by requirements related to natural gas firing in the boiler. </w:t>
      </w:r>
      <w:r>
        <w:rPr>
          <w:sz w:val="22"/>
          <w:szCs w:val="22"/>
        </w:rPr>
        <w:t xml:space="preserve"> Thus to avoid confusion, by having two active</w:t>
      </w:r>
      <w:r w:rsidR="002B4D67">
        <w:rPr>
          <w:sz w:val="22"/>
          <w:szCs w:val="22"/>
        </w:rPr>
        <w:t>,</w:t>
      </w:r>
      <w:r>
        <w:rPr>
          <w:sz w:val="22"/>
          <w:szCs w:val="22"/>
        </w:rPr>
        <w:t xml:space="preserve"> interrelate </w:t>
      </w:r>
      <w:r w:rsidR="002B4D67">
        <w:rPr>
          <w:sz w:val="22"/>
          <w:szCs w:val="22"/>
        </w:rPr>
        <w:t xml:space="preserve">, and in the case of the auxiliary boiler, conflicting </w:t>
      </w:r>
      <w:r>
        <w:rPr>
          <w:sz w:val="22"/>
          <w:szCs w:val="22"/>
        </w:rPr>
        <w:t>air construction and Title V permit revisions, the projects were merged</w:t>
      </w:r>
      <w:r w:rsidR="00AD1E8D">
        <w:rPr>
          <w:sz w:val="22"/>
          <w:szCs w:val="22"/>
        </w:rPr>
        <w:t>.</w:t>
      </w:r>
    </w:p>
    <w:p w:rsidR="00AD1E8D" w:rsidRPr="005B236F" w:rsidRDefault="00AD1E8D" w:rsidP="005B236F">
      <w:pPr>
        <w:numPr>
          <w:ilvl w:val="12"/>
          <w:numId w:val="0"/>
        </w:numPr>
        <w:spacing w:after="120"/>
        <w:rPr>
          <w:sz w:val="22"/>
          <w:szCs w:val="22"/>
        </w:rPr>
      </w:pPr>
      <w:r w:rsidRPr="00AD1E8D">
        <w:rPr>
          <w:sz w:val="22"/>
          <w:szCs w:val="22"/>
        </w:rPr>
        <w:t xml:space="preserve">Also, as part of comments received from the applicant on the initial draft permit package, a request was made to modify the </w:t>
      </w:r>
      <w:r w:rsidR="001C2589" w:rsidRPr="001C2589">
        <w:rPr>
          <w:sz w:val="22"/>
          <w:szCs w:val="22"/>
        </w:rPr>
        <w:t>Dry Low-Nitrogen Oxide</w:t>
      </w:r>
      <w:r w:rsidR="003A492C">
        <w:rPr>
          <w:sz w:val="22"/>
          <w:szCs w:val="22"/>
        </w:rPr>
        <w:t>s</w:t>
      </w:r>
      <w:r w:rsidR="001C2589" w:rsidRPr="001C2589">
        <w:rPr>
          <w:sz w:val="22"/>
          <w:szCs w:val="22"/>
        </w:rPr>
        <w:t xml:space="preserve"> </w:t>
      </w:r>
      <w:r w:rsidR="003A492C">
        <w:rPr>
          <w:sz w:val="22"/>
          <w:szCs w:val="22"/>
        </w:rPr>
        <w:t>(</w:t>
      </w:r>
      <w:r w:rsidR="001C2589" w:rsidRPr="001C2589">
        <w:rPr>
          <w:sz w:val="22"/>
          <w:szCs w:val="22"/>
        </w:rPr>
        <w:t>DLN</w:t>
      </w:r>
      <w:r w:rsidR="003A492C">
        <w:rPr>
          <w:sz w:val="22"/>
          <w:szCs w:val="22"/>
        </w:rPr>
        <w:t>)</w:t>
      </w:r>
      <w:r w:rsidR="001C2589" w:rsidRPr="001C2589">
        <w:rPr>
          <w:sz w:val="22"/>
          <w:szCs w:val="22"/>
        </w:rPr>
        <w:t xml:space="preserve"> </w:t>
      </w:r>
      <w:r w:rsidRPr="00AD1E8D">
        <w:rPr>
          <w:sz w:val="22"/>
          <w:szCs w:val="22"/>
        </w:rPr>
        <w:t>tuning requirement for the simple cycle gas-fired turbine Units 4 and 5.  Finally, the applicant also requested that the emission unit numbers of Units 4 and 5 be changed from EU 011 and EU 012 to EU 013 and EU 014 to match what is in the Departments Air Resource Management System (ARMS) database.</w:t>
      </w:r>
    </w:p>
    <w:p w:rsidR="00502E47" w:rsidRDefault="005B236F" w:rsidP="00163F4C">
      <w:pPr>
        <w:numPr>
          <w:ilvl w:val="12"/>
          <w:numId w:val="0"/>
        </w:numPr>
        <w:spacing w:after="120"/>
        <w:rPr>
          <w:sz w:val="22"/>
          <w:szCs w:val="22"/>
        </w:rPr>
      </w:pPr>
      <w:r w:rsidRPr="005B236F">
        <w:rPr>
          <w:sz w:val="22"/>
          <w:szCs w:val="22"/>
        </w:rPr>
        <w:t xml:space="preserve">To accomplish </w:t>
      </w:r>
      <w:r w:rsidR="00733BBB">
        <w:rPr>
          <w:sz w:val="22"/>
          <w:szCs w:val="22"/>
        </w:rPr>
        <w:t xml:space="preserve">the </w:t>
      </w:r>
      <w:r w:rsidRPr="005B236F">
        <w:rPr>
          <w:sz w:val="22"/>
          <w:szCs w:val="22"/>
        </w:rPr>
        <w:t xml:space="preserve">changes </w:t>
      </w:r>
      <w:r w:rsidR="00733BBB">
        <w:rPr>
          <w:sz w:val="22"/>
          <w:szCs w:val="22"/>
        </w:rPr>
        <w:t xml:space="preserve">relating to Unit 1 at the PPS, the Department decided to </w:t>
      </w:r>
      <w:r w:rsidR="00733BBB" w:rsidRPr="00733BBB">
        <w:rPr>
          <w:sz w:val="22"/>
          <w:szCs w:val="22"/>
        </w:rPr>
        <w:t>re-permit Unit 1 by incorporating the original PSD construction permit (PSD-FL-194) and all subsequent construction permit modifications into a “clean” new construction permit</w:t>
      </w:r>
      <w:r w:rsidR="00733BBB">
        <w:rPr>
          <w:sz w:val="22"/>
          <w:szCs w:val="22"/>
        </w:rPr>
        <w:t xml:space="preserve"> that also includes the </w:t>
      </w:r>
      <w:r w:rsidR="000C2AA3">
        <w:rPr>
          <w:sz w:val="22"/>
          <w:szCs w:val="22"/>
        </w:rPr>
        <w:t xml:space="preserve">permit </w:t>
      </w:r>
      <w:r w:rsidR="00733BBB">
        <w:rPr>
          <w:sz w:val="22"/>
          <w:szCs w:val="22"/>
        </w:rPr>
        <w:t>changes requested by TECO</w:t>
      </w:r>
      <w:r w:rsidR="00733BBB" w:rsidRPr="00733BBB">
        <w:rPr>
          <w:sz w:val="22"/>
          <w:szCs w:val="22"/>
        </w:rPr>
        <w:t xml:space="preserve">.  </w:t>
      </w:r>
      <w:r w:rsidR="000C2AA3">
        <w:rPr>
          <w:sz w:val="22"/>
          <w:szCs w:val="22"/>
        </w:rPr>
        <w:t>In addition, r</w:t>
      </w:r>
      <w:r w:rsidR="00733BBB" w:rsidRPr="00733BBB">
        <w:rPr>
          <w:sz w:val="22"/>
          <w:szCs w:val="22"/>
        </w:rPr>
        <w:t xml:space="preserve">edundant and obsolete permit conditions and emission limits </w:t>
      </w:r>
      <w:r w:rsidR="00740680">
        <w:rPr>
          <w:sz w:val="22"/>
          <w:szCs w:val="22"/>
        </w:rPr>
        <w:t>were</w:t>
      </w:r>
      <w:r w:rsidR="00733BBB" w:rsidRPr="00733BBB">
        <w:rPr>
          <w:sz w:val="22"/>
          <w:szCs w:val="22"/>
        </w:rPr>
        <w:t xml:space="preserve"> removed</w:t>
      </w:r>
      <w:r w:rsidR="000C2AA3">
        <w:rPr>
          <w:sz w:val="22"/>
          <w:szCs w:val="22"/>
        </w:rPr>
        <w:t xml:space="preserve"> from the new “clean” permit (PSD-FL-194J</w:t>
      </w:r>
      <w:r w:rsidR="00502E47">
        <w:rPr>
          <w:sz w:val="22"/>
          <w:szCs w:val="22"/>
        </w:rPr>
        <w:t>, Project No. 1050233-029-AC</w:t>
      </w:r>
      <w:r w:rsidR="000C2AA3">
        <w:rPr>
          <w:sz w:val="22"/>
          <w:szCs w:val="22"/>
        </w:rPr>
        <w:t>)</w:t>
      </w:r>
      <w:r w:rsidR="00733BBB" w:rsidRPr="00733BBB">
        <w:rPr>
          <w:sz w:val="22"/>
          <w:szCs w:val="22"/>
        </w:rPr>
        <w:t>.</w:t>
      </w:r>
      <w:r w:rsidRPr="005B236F">
        <w:rPr>
          <w:sz w:val="22"/>
          <w:szCs w:val="22"/>
        </w:rPr>
        <w:t xml:space="preserve">  </w:t>
      </w:r>
    </w:p>
    <w:p w:rsidR="00163F4C" w:rsidRDefault="000C2AA3" w:rsidP="00163F4C">
      <w:pPr>
        <w:numPr>
          <w:ilvl w:val="12"/>
          <w:numId w:val="0"/>
        </w:numPr>
        <w:spacing w:after="120"/>
        <w:rPr>
          <w:sz w:val="22"/>
          <w:szCs w:val="22"/>
        </w:rPr>
      </w:pPr>
      <w:r>
        <w:rPr>
          <w:sz w:val="22"/>
          <w:szCs w:val="22"/>
        </w:rPr>
        <w:t>The other permit changes requested</w:t>
      </w:r>
      <w:r w:rsidR="00502E47">
        <w:rPr>
          <w:sz w:val="22"/>
          <w:szCs w:val="22"/>
        </w:rPr>
        <w:t xml:space="preserve"> by TECO relating to Units 2 through </w:t>
      </w:r>
      <w:r w:rsidR="00E45BD3">
        <w:rPr>
          <w:sz w:val="22"/>
          <w:szCs w:val="22"/>
        </w:rPr>
        <w:t>5</w:t>
      </w:r>
      <w:r w:rsidR="00502E47">
        <w:rPr>
          <w:sz w:val="22"/>
          <w:szCs w:val="22"/>
        </w:rPr>
        <w:t xml:space="preserve"> were accomplished by modifying the </w:t>
      </w:r>
      <w:r w:rsidR="00E45BD3">
        <w:rPr>
          <w:sz w:val="22"/>
          <w:szCs w:val="22"/>
        </w:rPr>
        <w:t xml:space="preserve">construction </w:t>
      </w:r>
      <w:r w:rsidR="00502E47">
        <w:rPr>
          <w:sz w:val="22"/>
          <w:szCs w:val="22"/>
        </w:rPr>
        <w:t>permit</w:t>
      </w:r>
      <w:r w:rsidR="00E45BD3">
        <w:rPr>
          <w:sz w:val="22"/>
          <w:szCs w:val="22"/>
        </w:rPr>
        <w:t>s</w:t>
      </w:r>
      <w:r w:rsidR="00502E47">
        <w:rPr>
          <w:sz w:val="22"/>
          <w:szCs w:val="22"/>
        </w:rPr>
        <w:t xml:space="preserve"> PSD-FL-263 for Units 1 and 2 and PSD-FL-363 for Units 4 and 5.  These changes are reflected in the new permits PSD-FL-263B and PSD-FL-363</w:t>
      </w:r>
      <w:r w:rsidR="00403CAD">
        <w:rPr>
          <w:sz w:val="22"/>
          <w:szCs w:val="22"/>
        </w:rPr>
        <w:t>C</w:t>
      </w:r>
      <w:r w:rsidR="00502E47">
        <w:rPr>
          <w:sz w:val="22"/>
          <w:szCs w:val="22"/>
        </w:rPr>
        <w:t>.  Both of these new permits were assigned Project No. 1050233-</w:t>
      </w:r>
      <w:r w:rsidR="00403CAD">
        <w:rPr>
          <w:sz w:val="22"/>
          <w:szCs w:val="22"/>
        </w:rPr>
        <w:t>032</w:t>
      </w:r>
      <w:r w:rsidR="00502E47">
        <w:rPr>
          <w:sz w:val="22"/>
          <w:szCs w:val="22"/>
        </w:rPr>
        <w:t>-AC.  All of these</w:t>
      </w:r>
      <w:r w:rsidR="005B236F" w:rsidRPr="005B236F">
        <w:rPr>
          <w:sz w:val="22"/>
          <w:szCs w:val="22"/>
        </w:rPr>
        <w:t xml:space="preserve"> changes in the PSD permits</w:t>
      </w:r>
      <w:r w:rsidR="00E45BD3">
        <w:rPr>
          <w:sz w:val="22"/>
          <w:szCs w:val="22"/>
        </w:rPr>
        <w:t xml:space="preserve"> (194J, 263B and 363C)</w:t>
      </w:r>
      <w:r w:rsidR="005B236F" w:rsidRPr="005B236F">
        <w:rPr>
          <w:sz w:val="22"/>
          <w:szCs w:val="22"/>
        </w:rPr>
        <w:t xml:space="preserve"> and are reflected in the Title V revision (DEP File No. 1050233-028-AV) that is being issued concurrently with </w:t>
      </w:r>
      <w:r w:rsidR="00502E47">
        <w:rPr>
          <w:sz w:val="22"/>
          <w:szCs w:val="22"/>
        </w:rPr>
        <w:t xml:space="preserve">the three </w:t>
      </w:r>
      <w:r w:rsidR="003A492C">
        <w:rPr>
          <w:sz w:val="22"/>
          <w:szCs w:val="22"/>
        </w:rPr>
        <w:t xml:space="preserve">underlying </w:t>
      </w:r>
      <w:r w:rsidR="00502E47">
        <w:rPr>
          <w:sz w:val="22"/>
          <w:szCs w:val="22"/>
        </w:rPr>
        <w:t xml:space="preserve">PSD </w:t>
      </w:r>
      <w:r w:rsidR="005B236F" w:rsidRPr="005B236F">
        <w:rPr>
          <w:sz w:val="22"/>
          <w:szCs w:val="22"/>
        </w:rPr>
        <w:t>construction permit revision</w:t>
      </w:r>
      <w:r w:rsidR="00502E47">
        <w:rPr>
          <w:sz w:val="22"/>
          <w:szCs w:val="22"/>
        </w:rPr>
        <w:t>s</w:t>
      </w:r>
      <w:r w:rsidR="005B236F" w:rsidRPr="005B236F">
        <w:rPr>
          <w:sz w:val="22"/>
          <w:szCs w:val="22"/>
        </w:rPr>
        <w:t>.  These changes and other minor changes that</w:t>
      </w:r>
      <w:r w:rsidR="00502E47">
        <w:rPr>
          <w:sz w:val="22"/>
          <w:szCs w:val="22"/>
        </w:rPr>
        <w:t xml:space="preserve"> were made are described in this document </w:t>
      </w:r>
      <w:r w:rsidR="005B236F" w:rsidRPr="005B236F">
        <w:rPr>
          <w:sz w:val="22"/>
          <w:szCs w:val="22"/>
        </w:rPr>
        <w:t xml:space="preserve">and </w:t>
      </w:r>
      <w:r w:rsidR="00502E47">
        <w:rPr>
          <w:sz w:val="22"/>
          <w:szCs w:val="22"/>
        </w:rPr>
        <w:t xml:space="preserve">the </w:t>
      </w:r>
      <w:r w:rsidR="005B236F" w:rsidRPr="005B236F">
        <w:rPr>
          <w:sz w:val="22"/>
          <w:szCs w:val="22"/>
        </w:rPr>
        <w:t>Statement of Basis (SOB) document</w:t>
      </w:r>
      <w:r w:rsidR="00502E47">
        <w:rPr>
          <w:sz w:val="22"/>
          <w:szCs w:val="22"/>
        </w:rPr>
        <w:t xml:space="preserve"> relating to the Title V permit revision that is</w:t>
      </w:r>
      <w:r w:rsidR="005B236F" w:rsidRPr="005B236F">
        <w:rPr>
          <w:sz w:val="22"/>
          <w:szCs w:val="22"/>
        </w:rPr>
        <w:t xml:space="preserve"> included in the permit package.  </w:t>
      </w:r>
    </w:p>
    <w:p w:rsidR="00403CAD" w:rsidRDefault="00403CAD" w:rsidP="00163F4C">
      <w:pPr>
        <w:numPr>
          <w:ilvl w:val="12"/>
          <w:numId w:val="0"/>
        </w:numPr>
        <w:spacing w:after="120"/>
        <w:rPr>
          <w:sz w:val="22"/>
          <w:szCs w:val="22"/>
        </w:rPr>
      </w:pPr>
      <w:r>
        <w:rPr>
          <w:sz w:val="22"/>
          <w:szCs w:val="22"/>
        </w:rPr>
        <w:t>In summary, permit changes affecting Unit 1 at the PPS are addressed in Project No. 1050233-029-AC (PSD-FL-194J).  Changes pertaining to Units 2 to 5 at the PPS are addressed in Project No. 1050233-032-AC (PSD-FL-263B and PSD-FL-363C).  All these permit changes for Units 1 to 5 at the PPS will also be reflected in the revised Title V Air Operation Permit (No. 1050233-028-AV).  All these permits and associated document are include</w:t>
      </w:r>
      <w:r w:rsidR="003A492C">
        <w:rPr>
          <w:sz w:val="22"/>
          <w:szCs w:val="22"/>
        </w:rPr>
        <w:t>d</w:t>
      </w:r>
      <w:r>
        <w:rPr>
          <w:sz w:val="22"/>
          <w:szCs w:val="22"/>
        </w:rPr>
        <w:t xml:space="preserve"> in </w:t>
      </w:r>
      <w:r w:rsidR="003E2FCA">
        <w:rPr>
          <w:sz w:val="22"/>
          <w:szCs w:val="22"/>
        </w:rPr>
        <w:t xml:space="preserve">the issued </w:t>
      </w:r>
      <w:r>
        <w:rPr>
          <w:sz w:val="22"/>
          <w:szCs w:val="22"/>
        </w:rPr>
        <w:t>draft/proposed permit package.</w:t>
      </w:r>
    </w:p>
    <w:p w:rsidR="001C4E37" w:rsidRPr="008B1DC5" w:rsidRDefault="001C4E37" w:rsidP="00511785">
      <w:pPr>
        <w:pStyle w:val="ListParagraph"/>
        <w:numPr>
          <w:ilvl w:val="0"/>
          <w:numId w:val="9"/>
        </w:numPr>
        <w:spacing w:after="120"/>
        <w:ind w:left="720" w:hanging="720"/>
        <w:rPr>
          <w:rFonts w:ascii="Times New Roman" w:hAnsi="Times New Roman" w:cs="Times New Roman"/>
          <w:b/>
          <w:caps/>
        </w:rPr>
      </w:pPr>
      <w:r w:rsidRPr="008B1DC5">
        <w:rPr>
          <w:rFonts w:ascii="Times New Roman" w:hAnsi="Times New Roman" w:cs="Times New Roman"/>
          <w:b/>
          <w:bCs/>
        </w:rPr>
        <w:t>Processing Schedule</w:t>
      </w:r>
    </w:p>
    <w:p w:rsidR="00A763A9" w:rsidRPr="00A763A9" w:rsidRDefault="00A763A9" w:rsidP="00FD288D">
      <w:pPr>
        <w:pStyle w:val="BodyText"/>
        <w:tabs>
          <w:tab w:val="left" w:pos="1260"/>
        </w:tabs>
        <w:spacing w:after="60"/>
        <w:ind w:left="1267" w:hanging="1267"/>
        <w:rPr>
          <w:sz w:val="22"/>
          <w:szCs w:val="22"/>
        </w:rPr>
      </w:pPr>
      <w:r w:rsidRPr="00A763A9">
        <w:rPr>
          <w:sz w:val="22"/>
          <w:szCs w:val="22"/>
        </w:rPr>
        <w:t>0</w:t>
      </w:r>
      <w:r>
        <w:rPr>
          <w:sz w:val="22"/>
          <w:szCs w:val="22"/>
        </w:rPr>
        <w:t>2</w:t>
      </w:r>
      <w:r w:rsidRPr="00A763A9">
        <w:rPr>
          <w:sz w:val="22"/>
          <w:szCs w:val="22"/>
        </w:rPr>
        <w:t>/</w:t>
      </w:r>
      <w:r>
        <w:rPr>
          <w:sz w:val="22"/>
          <w:szCs w:val="22"/>
        </w:rPr>
        <w:t>2</w:t>
      </w:r>
      <w:r w:rsidRPr="00A763A9">
        <w:rPr>
          <w:sz w:val="22"/>
          <w:szCs w:val="22"/>
        </w:rPr>
        <w:t>8/2012:</w:t>
      </w:r>
      <w:r w:rsidRPr="00A763A9">
        <w:rPr>
          <w:sz w:val="22"/>
          <w:szCs w:val="22"/>
        </w:rPr>
        <w:tab/>
        <w:t xml:space="preserve">Received </w:t>
      </w:r>
      <w:r>
        <w:rPr>
          <w:sz w:val="22"/>
          <w:szCs w:val="22"/>
        </w:rPr>
        <w:t>an</w:t>
      </w:r>
      <w:r w:rsidRPr="00A763A9">
        <w:rPr>
          <w:sz w:val="22"/>
          <w:szCs w:val="22"/>
        </w:rPr>
        <w:t xml:space="preserve"> application for </w:t>
      </w:r>
      <w:r>
        <w:rPr>
          <w:sz w:val="22"/>
          <w:szCs w:val="22"/>
        </w:rPr>
        <w:t xml:space="preserve">a Title V </w:t>
      </w:r>
      <w:r w:rsidR="009F397F">
        <w:rPr>
          <w:sz w:val="22"/>
          <w:szCs w:val="22"/>
        </w:rPr>
        <w:t>a</w:t>
      </w:r>
      <w:r>
        <w:rPr>
          <w:sz w:val="22"/>
          <w:szCs w:val="22"/>
        </w:rPr>
        <w:t xml:space="preserve">ir </w:t>
      </w:r>
      <w:r w:rsidR="009F397F">
        <w:rPr>
          <w:sz w:val="22"/>
          <w:szCs w:val="22"/>
        </w:rPr>
        <w:t>p</w:t>
      </w:r>
      <w:r>
        <w:rPr>
          <w:sz w:val="22"/>
          <w:szCs w:val="22"/>
        </w:rPr>
        <w:t xml:space="preserve">ermit </w:t>
      </w:r>
      <w:r w:rsidR="009F397F">
        <w:rPr>
          <w:sz w:val="22"/>
          <w:szCs w:val="22"/>
        </w:rPr>
        <w:t>r</w:t>
      </w:r>
      <w:r>
        <w:rPr>
          <w:sz w:val="22"/>
          <w:szCs w:val="22"/>
        </w:rPr>
        <w:t>evision</w:t>
      </w:r>
      <w:r w:rsidR="005B236F">
        <w:rPr>
          <w:sz w:val="22"/>
          <w:szCs w:val="22"/>
        </w:rPr>
        <w:t xml:space="preserve"> to change the </w:t>
      </w:r>
      <w:r w:rsidR="005B236F" w:rsidRPr="005B236F">
        <w:rPr>
          <w:sz w:val="22"/>
          <w:szCs w:val="22"/>
        </w:rPr>
        <w:t xml:space="preserve">auxiliary </w:t>
      </w:r>
      <w:r w:rsidR="005B236F">
        <w:rPr>
          <w:sz w:val="22"/>
          <w:szCs w:val="22"/>
        </w:rPr>
        <w:t xml:space="preserve">boiler </w:t>
      </w:r>
      <w:r w:rsidR="005B236F" w:rsidRPr="005B236F">
        <w:rPr>
          <w:sz w:val="22"/>
          <w:szCs w:val="22"/>
        </w:rPr>
        <w:t xml:space="preserve">fuel sulfur monitoring </w:t>
      </w:r>
      <w:r w:rsidR="008A738E">
        <w:rPr>
          <w:sz w:val="22"/>
          <w:szCs w:val="22"/>
        </w:rPr>
        <w:t xml:space="preserve">requirement </w:t>
      </w:r>
      <w:r w:rsidR="005B236F" w:rsidRPr="005B236F">
        <w:rPr>
          <w:sz w:val="22"/>
          <w:szCs w:val="22"/>
        </w:rPr>
        <w:t>and sulfur dioxide emission limit</w:t>
      </w:r>
      <w:r w:rsidR="00050C2F">
        <w:rPr>
          <w:sz w:val="22"/>
          <w:szCs w:val="22"/>
        </w:rPr>
        <w:t xml:space="preserve"> and the visible emission monitoring requirement for the </w:t>
      </w:r>
      <w:r w:rsidR="00FD288D">
        <w:rPr>
          <w:sz w:val="22"/>
          <w:szCs w:val="22"/>
        </w:rPr>
        <w:t>sulfuric acid</w:t>
      </w:r>
      <w:r w:rsidR="00050C2F">
        <w:rPr>
          <w:sz w:val="22"/>
          <w:szCs w:val="22"/>
        </w:rPr>
        <w:t xml:space="preserve"> plant along with</w:t>
      </w:r>
      <w:r w:rsidR="005B236F">
        <w:rPr>
          <w:sz w:val="22"/>
          <w:szCs w:val="22"/>
        </w:rPr>
        <w:t xml:space="preserve"> other changes</w:t>
      </w:r>
      <w:r w:rsidR="00050C2F" w:rsidRPr="00050C2F">
        <w:rPr>
          <w:b/>
          <w:sz w:val="22"/>
        </w:rPr>
        <w:t xml:space="preserve"> </w:t>
      </w:r>
      <w:r w:rsidR="00050C2F" w:rsidRPr="008B1DC5">
        <w:rPr>
          <w:b/>
          <w:sz w:val="22"/>
        </w:rPr>
        <w:t>Project 1</w:t>
      </w:r>
      <w:r w:rsidRPr="00A763A9">
        <w:rPr>
          <w:sz w:val="22"/>
          <w:szCs w:val="22"/>
        </w:rPr>
        <w:t>.</w:t>
      </w:r>
    </w:p>
    <w:p w:rsidR="001C4E37" w:rsidRDefault="00F0411A" w:rsidP="00A763A9">
      <w:pPr>
        <w:pStyle w:val="BodyText"/>
        <w:numPr>
          <w:ilvl w:val="12"/>
          <w:numId w:val="0"/>
        </w:numPr>
        <w:tabs>
          <w:tab w:val="left" w:pos="1260"/>
        </w:tabs>
        <w:spacing w:after="60"/>
        <w:ind w:left="1260" w:hanging="1260"/>
        <w:rPr>
          <w:sz w:val="22"/>
        </w:rPr>
      </w:pPr>
      <w:r>
        <w:rPr>
          <w:sz w:val="22"/>
          <w:szCs w:val="22"/>
        </w:rPr>
        <w:t>0</w:t>
      </w:r>
      <w:r w:rsidR="00E65554">
        <w:rPr>
          <w:sz w:val="22"/>
          <w:szCs w:val="22"/>
        </w:rPr>
        <w:t>3</w:t>
      </w:r>
      <w:r w:rsidR="000620AB">
        <w:rPr>
          <w:sz w:val="22"/>
          <w:szCs w:val="22"/>
        </w:rPr>
        <w:t>/</w:t>
      </w:r>
      <w:r w:rsidR="00E65554">
        <w:rPr>
          <w:sz w:val="22"/>
          <w:szCs w:val="22"/>
        </w:rPr>
        <w:t>08</w:t>
      </w:r>
      <w:r w:rsidR="000620AB">
        <w:rPr>
          <w:sz w:val="22"/>
          <w:szCs w:val="22"/>
        </w:rPr>
        <w:t>/</w:t>
      </w:r>
      <w:r>
        <w:rPr>
          <w:sz w:val="22"/>
          <w:szCs w:val="22"/>
        </w:rPr>
        <w:t>20</w:t>
      </w:r>
      <w:r w:rsidR="000620AB">
        <w:rPr>
          <w:sz w:val="22"/>
          <w:szCs w:val="22"/>
        </w:rPr>
        <w:t>1</w:t>
      </w:r>
      <w:r>
        <w:rPr>
          <w:sz w:val="22"/>
          <w:szCs w:val="22"/>
        </w:rPr>
        <w:t>2:</w:t>
      </w:r>
      <w:r>
        <w:rPr>
          <w:sz w:val="22"/>
          <w:szCs w:val="22"/>
        </w:rPr>
        <w:tab/>
      </w:r>
      <w:r w:rsidR="001C4E37" w:rsidRPr="00782ABD">
        <w:rPr>
          <w:sz w:val="22"/>
        </w:rPr>
        <w:t xml:space="preserve">Received </w:t>
      </w:r>
      <w:r w:rsidR="00A763A9">
        <w:rPr>
          <w:sz w:val="22"/>
        </w:rPr>
        <w:t>an</w:t>
      </w:r>
      <w:r w:rsidR="001C4E37" w:rsidRPr="00782ABD">
        <w:rPr>
          <w:sz w:val="22"/>
        </w:rPr>
        <w:t xml:space="preserve"> application for </w:t>
      </w:r>
      <w:r w:rsidR="009F397F">
        <w:rPr>
          <w:sz w:val="22"/>
        </w:rPr>
        <w:t>c</w:t>
      </w:r>
      <w:r w:rsidR="00A763A9">
        <w:rPr>
          <w:sz w:val="22"/>
        </w:rPr>
        <w:t xml:space="preserve">oncurrent </w:t>
      </w:r>
      <w:r w:rsidR="009F397F">
        <w:rPr>
          <w:sz w:val="22"/>
        </w:rPr>
        <w:t>a</w:t>
      </w:r>
      <w:r w:rsidR="00A763A9">
        <w:rPr>
          <w:sz w:val="22"/>
        </w:rPr>
        <w:t xml:space="preserve">ir </w:t>
      </w:r>
      <w:r w:rsidR="009F397F">
        <w:rPr>
          <w:sz w:val="22"/>
        </w:rPr>
        <w:t>c</w:t>
      </w:r>
      <w:r w:rsidR="00A763A9">
        <w:rPr>
          <w:sz w:val="22"/>
        </w:rPr>
        <w:t xml:space="preserve">onstruction </w:t>
      </w:r>
      <w:r w:rsidR="009F397F">
        <w:rPr>
          <w:sz w:val="22"/>
        </w:rPr>
        <w:t>p</w:t>
      </w:r>
      <w:r w:rsidR="00A763A9">
        <w:rPr>
          <w:sz w:val="22"/>
        </w:rPr>
        <w:t>ermit revision</w:t>
      </w:r>
      <w:r w:rsidR="005B236F">
        <w:rPr>
          <w:sz w:val="22"/>
        </w:rPr>
        <w:t xml:space="preserve"> </w:t>
      </w:r>
      <w:r w:rsidR="00050C2F">
        <w:rPr>
          <w:sz w:val="22"/>
        </w:rPr>
        <w:t xml:space="preserve">for </w:t>
      </w:r>
      <w:r w:rsidR="00050C2F" w:rsidRPr="00050C2F">
        <w:rPr>
          <w:b/>
          <w:sz w:val="22"/>
        </w:rPr>
        <w:t>Project 1</w:t>
      </w:r>
      <w:r w:rsidR="004B6AE4">
        <w:rPr>
          <w:sz w:val="22"/>
        </w:rPr>
        <w:t>.</w:t>
      </w:r>
    </w:p>
    <w:p w:rsidR="009F397F" w:rsidRDefault="009F397F" w:rsidP="00FD288D">
      <w:pPr>
        <w:pStyle w:val="BodyText"/>
        <w:numPr>
          <w:ilvl w:val="12"/>
          <w:numId w:val="0"/>
        </w:numPr>
        <w:tabs>
          <w:tab w:val="left" w:pos="1260"/>
        </w:tabs>
        <w:spacing w:after="60"/>
        <w:ind w:left="1267" w:hanging="1267"/>
        <w:rPr>
          <w:color w:val="282828"/>
          <w:sz w:val="23"/>
          <w:szCs w:val="23"/>
        </w:rPr>
      </w:pPr>
      <w:r w:rsidRPr="00C82D83">
        <w:rPr>
          <w:sz w:val="22"/>
        </w:rPr>
        <w:t>04/</w:t>
      </w:r>
      <w:r>
        <w:rPr>
          <w:sz w:val="22"/>
        </w:rPr>
        <w:t>23</w:t>
      </w:r>
      <w:r w:rsidRPr="00C82D83">
        <w:rPr>
          <w:sz w:val="22"/>
        </w:rPr>
        <w:t>/2012</w:t>
      </w:r>
      <w:r>
        <w:rPr>
          <w:sz w:val="22"/>
        </w:rPr>
        <w:t>:</w:t>
      </w:r>
      <w:r>
        <w:rPr>
          <w:sz w:val="22"/>
        </w:rPr>
        <w:tab/>
        <w:t xml:space="preserve">Issued </w:t>
      </w:r>
      <w:r>
        <w:rPr>
          <w:color w:val="282828"/>
          <w:sz w:val="23"/>
          <w:szCs w:val="23"/>
        </w:rPr>
        <w:t>Air Constru</w:t>
      </w:r>
      <w:r>
        <w:rPr>
          <w:color w:val="474747"/>
          <w:sz w:val="23"/>
          <w:szCs w:val="23"/>
        </w:rPr>
        <w:t>c</w:t>
      </w:r>
      <w:r>
        <w:rPr>
          <w:color w:val="282828"/>
          <w:sz w:val="23"/>
          <w:szCs w:val="23"/>
        </w:rPr>
        <w:t>tion Permit and draft/proposed Title V Air Permit revi</w:t>
      </w:r>
      <w:r>
        <w:rPr>
          <w:color w:val="474747"/>
          <w:sz w:val="23"/>
          <w:szCs w:val="23"/>
        </w:rPr>
        <w:t>s</w:t>
      </w:r>
      <w:r w:rsidR="00050C2F">
        <w:rPr>
          <w:color w:val="282828"/>
          <w:sz w:val="23"/>
          <w:szCs w:val="23"/>
        </w:rPr>
        <w:t>ions</w:t>
      </w:r>
      <w:r>
        <w:rPr>
          <w:color w:val="282828"/>
          <w:sz w:val="23"/>
          <w:szCs w:val="23"/>
        </w:rPr>
        <w:t xml:space="preserve"> </w:t>
      </w:r>
      <w:r w:rsidR="00050C2F">
        <w:rPr>
          <w:color w:val="282828"/>
          <w:sz w:val="23"/>
          <w:szCs w:val="23"/>
        </w:rPr>
        <w:t xml:space="preserve">for </w:t>
      </w:r>
      <w:r w:rsidR="00050C2F" w:rsidRPr="00050C2F">
        <w:rPr>
          <w:b/>
          <w:color w:val="282828"/>
          <w:sz w:val="23"/>
          <w:szCs w:val="23"/>
        </w:rPr>
        <w:t>Project 1</w:t>
      </w:r>
      <w:r>
        <w:rPr>
          <w:color w:val="282828"/>
          <w:sz w:val="23"/>
          <w:szCs w:val="23"/>
        </w:rPr>
        <w:t>.</w:t>
      </w:r>
    </w:p>
    <w:p w:rsidR="009F397F" w:rsidRDefault="009F397F" w:rsidP="009F397F">
      <w:pPr>
        <w:pStyle w:val="BodyText"/>
        <w:numPr>
          <w:ilvl w:val="12"/>
          <w:numId w:val="0"/>
        </w:numPr>
        <w:tabs>
          <w:tab w:val="left" w:pos="1260"/>
        </w:tabs>
        <w:spacing w:after="60"/>
        <w:ind w:left="1260" w:hanging="1260"/>
        <w:rPr>
          <w:sz w:val="22"/>
        </w:rPr>
      </w:pPr>
      <w:r>
        <w:rPr>
          <w:sz w:val="22"/>
        </w:rPr>
        <w:t>05/17/2012:</w:t>
      </w:r>
      <w:r>
        <w:rPr>
          <w:sz w:val="22"/>
        </w:rPr>
        <w:tab/>
      </w:r>
      <w:r w:rsidRPr="009F397F">
        <w:rPr>
          <w:sz w:val="22"/>
        </w:rPr>
        <w:t xml:space="preserve">Tampa Electric Company </w:t>
      </w:r>
      <w:r>
        <w:rPr>
          <w:sz w:val="22"/>
        </w:rPr>
        <w:t xml:space="preserve">requested an extension of time </w:t>
      </w:r>
      <w:r w:rsidRPr="009F397F">
        <w:rPr>
          <w:sz w:val="22"/>
        </w:rPr>
        <w:t>to petition for a formal administrative hearing</w:t>
      </w:r>
      <w:r>
        <w:rPr>
          <w:sz w:val="22"/>
        </w:rPr>
        <w:t xml:space="preserve"> until </w:t>
      </w:r>
      <w:r w:rsidRPr="009F397F">
        <w:rPr>
          <w:sz w:val="22"/>
        </w:rPr>
        <w:t>the close of business on July 6, 2012</w:t>
      </w:r>
      <w:r w:rsidR="00050C2F">
        <w:rPr>
          <w:sz w:val="22"/>
        </w:rPr>
        <w:t xml:space="preserve"> for </w:t>
      </w:r>
      <w:r w:rsidR="00050C2F" w:rsidRPr="00050C2F">
        <w:rPr>
          <w:b/>
          <w:sz w:val="22"/>
        </w:rPr>
        <w:t>Project 1</w:t>
      </w:r>
      <w:r>
        <w:rPr>
          <w:sz w:val="22"/>
        </w:rPr>
        <w:t>.</w:t>
      </w:r>
    </w:p>
    <w:p w:rsidR="005B236F" w:rsidRDefault="005B236F" w:rsidP="00A763A9">
      <w:pPr>
        <w:pStyle w:val="BodyText"/>
        <w:numPr>
          <w:ilvl w:val="12"/>
          <w:numId w:val="0"/>
        </w:numPr>
        <w:tabs>
          <w:tab w:val="left" w:pos="1260"/>
        </w:tabs>
        <w:spacing w:after="60"/>
        <w:ind w:left="1260" w:hanging="1260"/>
        <w:rPr>
          <w:sz w:val="22"/>
        </w:rPr>
      </w:pPr>
      <w:r w:rsidRPr="005B236F">
        <w:rPr>
          <w:sz w:val="22"/>
        </w:rPr>
        <w:t>0</w:t>
      </w:r>
      <w:r>
        <w:rPr>
          <w:sz w:val="22"/>
        </w:rPr>
        <w:t>5</w:t>
      </w:r>
      <w:r w:rsidRPr="005B236F">
        <w:rPr>
          <w:sz w:val="22"/>
        </w:rPr>
        <w:t>/</w:t>
      </w:r>
      <w:r>
        <w:rPr>
          <w:sz w:val="22"/>
        </w:rPr>
        <w:t>21</w:t>
      </w:r>
      <w:r w:rsidRPr="005B236F">
        <w:rPr>
          <w:sz w:val="22"/>
        </w:rPr>
        <w:t>/2012:</w:t>
      </w:r>
      <w:r w:rsidRPr="005B236F">
        <w:rPr>
          <w:sz w:val="22"/>
        </w:rPr>
        <w:tab/>
        <w:t xml:space="preserve">Received an application for </w:t>
      </w:r>
      <w:r w:rsidR="008A738E">
        <w:rPr>
          <w:sz w:val="22"/>
        </w:rPr>
        <w:t>c</w:t>
      </w:r>
      <w:r w:rsidRPr="005B236F">
        <w:rPr>
          <w:sz w:val="22"/>
        </w:rPr>
        <w:t xml:space="preserve">oncurrent </w:t>
      </w:r>
      <w:r w:rsidR="008A738E">
        <w:rPr>
          <w:sz w:val="22"/>
        </w:rPr>
        <w:t>a</w:t>
      </w:r>
      <w:r w:rsidRPr="005B236F">
        <w:rPr>
          <w:sz w:val="22"/>
        </w:rPr>
        <w:t xml:space="preserve">ir </w:t>
      </w:r>
      <w:r w:rsidR="008A738E">
        <w:rPr>
          <w:sz w:val="22"/>
        </w:rPr>
        <w:t>c</w:t>
      </w:r>
      <w:r w:rsidRPr="005B236F">
        <w:rPr>
          <w:sz w:val="22"/>
        </w:rPr>
        <w:t xml:space="preserve">onstruction </w:t>
      </w:r>
      <w:r w:rsidR="008A738E">
        <w:rPr>
          <w:sz w:val="22"/>
        </w:rPr>
        <w:t>p</w:t>
      </w:r>
      <w:r w:rsidRPr="005B236F">
        <w:rPr>
          <w:sz w:val="22"/>
        </w:rPr>
        <w:t xml:space="preserve">ermit </w:t>
      </w:r>
      <w:r w:rsidR="008A738E">
        <w:rPr>
          <w:sz w:val="22"/>
        </w:rPr>
        <w:t xml:space="preserve">and Title V </w:t>
      </w:r>
      <w:r w:rsidR="009F397F">
        <w:rPr>
          <w:sz w:val="22"/>
        </w:rPr>
        <w:t xml:space="preserve">air </w:t>
      </w:r>
      <w:r w:rsidR="008A738E">
        <w:rPr>
          <w:sz w:val="22"/>
        </w:rPr>
        <w:t xml:space="preserve">permit </w:t>
      </w:r>
      <w:r w:rsidR="009F397F">
        <w:rPr>
          <w:sz w:val="22"/>
        </w:rPr>
        <w:t>revision</w:t>
      </w:r>
      <w:r w:rsidRPr="005B236F">
        <w:rPr>
          <w:sz w:val="22"/>
        </w:rPr>
        <w:t xml:space="preserve"> </w:t>
      </w:r>
      <w:r>
        <w:rPr>
          <w:sz w:val="22"/>
        </w:rPr>
        <w:t>to convert the backup and startup fuels of Unit 1 from fuel oil and propane to natural gas</w:t>
      </w:r>
      <w:r w:rsidR="008B1DC5">
        <w:rPr>
          <w:sz w:val="22"/>
        </w:rPr>
        <w:t xml:space="preserve"> (</w:t>
      </w:r>
      <w:r w:rsidR="008B1DC5" w:rsidRPr="008B1DC5">
        <w:rPr>
          <w:b/>
          <w:sz w:val="22"/>
        </w:rPr>
        <w:t>Project 2</w:t>
      </w:r>
      <w:r w:rsidR="008B1DC5">
        <w:rPr>
          <w:sz w:val="22"/>
        </w:rPr>
        <w:t>)</w:t>
      </w:r>
      <w:r w:rsidRPr="005B236F">
        <w:rPr>
          <w:sz w:val="22"/>
        </w:rPr>
        <w:t>.</w:t>
      </w:r>
    </w:p>
    <w:p w:rsidR="009F397F" w:rsidRDefault="009F397F" w:rsidP="00A763A9">
      <w:pPr>
        <w:pStyle w:val="BodyText"/>
        <w:numPr>
          <w:ilvl w:val="12"/>
          <w:numId w:val="0"/>
        </w:numPr>
        <w:tabs>
          <w:tab w:val="left" w:pos="1260"/>
        </w:tabs>
        <w:spacing w:after="60"/>
        <w:ind w:left="1260" w:hanging="1260"/>
        <w:rPr>
          <w:sz w:val="22"/>
        </w:rPr>
      </w:pPr>
      <w:r w:rsidRPr="009F397F">
        <w:rPr>
          <w:sz w:val="22"/>
        </w:rPr>
        <w:t>0</w:t>
      </w:r>
      <w:r>
        <w:rPr>
          <w:sz w:val="22"/>
        </w:rPr>
        <w:t>6</w:t>
      </w:r>
      <w:r w:rsidRPr="009F397F">
        <w:rPr>
          <w:sz w:val="22"/>
        </w:rPr>
        <w:t>/</w:t>
      </w:r>
      <w:r>
        <w:rPr>
          <w:sz w:val="22"/>
        </w:rPr>
        <w:t>26</w:t>
      </w:r>
      <w:r w:rsidRPr="009F397F">
        <w:rPr>
          <w:sz w:val="22"/>
        </w:rPr>
        <w:t>/2012:</w:t>
      </w:r>
      <w:r w:rsidRPr="009F397F">
        <w:rPr>
          <w:sz w:val="22"/>
        </w:rPr>
        <w:tab/>
        <w:t>Tampa Electric Company requested a</w:t>
      </w:r>
      <w:r>
        <w:rPr>
          <w:sz w:val="22"/>
        </w:rPr>
        <w:t xml:space="preserve"> second </w:t>
      </w:r>
      <w:r w:rsidRPr="009F397F">
        <w:rPr>
          <w:sz w:val="22"/>
        </w:rPr>
        <w:t xml:space="preserve">extension of time to petition for a formal administrative hearing until the close of business on </w:t>
      </w:r>
      <w:r>
        <w:rPr>
          <w:sz w:val="22"/>
        </w:rPr>
        <w:t>August</w:t>
      </w:r>
      <w:r w:rsidRPr="009F397F">
        <w:rPr>
          <w:sz w:val="22"/>
        </w:rPr>
        <w:t xml:space="preserve"> 6, 2012</w:t>
      </w:r>
      <w:r w:rsidR="00050C2F">
        <w:rPr>
          <w:sz w:val="22"/>
        </w:rPr>
        <w:t xml:space="preserve"> for </w:t>
      </w:r>
      <w:r w:rsidR="00050C2F" w:rsidRPr="00050C2F">
        <w:rPr>
          <w:b/>
          <w:sz w:val="22"/>
        </w:rPr>
        <w:t>Project 1</w:t>
      </w:r>
      <w:r w:rsidRPr="009F397F">
        <w:rPr>
          <w:sz w:val="22"/>
        </w:rPr>
        <w:t>.</w:t>
      </w:r>
    </w:p>
    <w:p w:rsidR="005B236F" w:rsidRDefault="005B236F" w:rsidP="009F397F">
      <w:pPr>
        <w:pStyle w:val="BodyText"/>
        <w:numPr>
          <w:ilvl w:val="12"/>
          <w:numId w:val="0"/>
        </w:numPr>
        <w:tabs>
          <w:tab w:val="left" w:pos="1260"/>
        </w:tabs>
        <w:ind w:left="1267" w:hanging="1267"/>
        <w:rPr>
          <w:sz w:val="22"/>
        </w:rPr>
      </w:pPr>
      <w:r>
        <w:rPr>
          <w:sz w:val="22"/>
        </w:rPr>
        <w:t>07/18/2012</w:t>
      </w:r>
      <w:r w:rsidR="009F397F">
        <w:rPr>
          <w:sz w:val="22"/>
        </w:rPr>
        <w:t>:</w:t>
      </w:r>
      <w:r>
        <w:rPr>
          <w:sz w:val="22"/>
        </w:rPr>
        <w:tab/>
        <w:t>Received a request from TECO to combine the two projects.</w:t>
      </w:r>
    </w:p>
    <w:p w:rsidR="00502E47" w:rsidRDefault="00663728" w:rsidP="009F397F">
      <w:pPr>
        <w:pStyle w:val="BodyText"/>
        <w:numPr>
          <w:ilvl w:val="12"/>
          <w:numId w:val="0"/>
        </w:numPr>
        <w:tabs>
          <w:tab w:val="left" w:pos="1260"/>
        </w:tabs>
        <w:ind w:left="1267" w:hanging="1267"/>
        <w:rPr>
          <w:sz w:val="22"/>
        </w:rPr>
      </w:pPr>
      <w:r>
        <w:rPr>
          <w:sz w:val="22"/>
        </w:rPr>
        <w:lastRenderedPageBreak/>
        <w:t>08/0</w:t>
      </w:r>
      <w:r w:rsidRPr="00663728">
        <w:rPr>
          <w:sz w:val="22"/>
        </w:rPr>
        <w:t>6/2012:</w:t>
      </w:r>
      <w:r w:rsidRPr="00663728">
        <w:rPr>
          <w:sz w:val="22"/>
        </w:rPr>
        <w:tab/>
        <w:t xml:space="preserve">Tampa Electric Company requested a </w:t>
      </w:r>
      <w:r>
        <w:rPr>
          <w:sz w:val="22"/>
        </w:rPr>
        <w:t>third</w:t>
      </w:r>
      <w:r w:rsidRPr="00663728">
        <w:rPr>
          <w:sz w:val="22"/>
        </w:rPr>
        <w:t xml:space="preserve"> extension of time to petition for a formal administrative hearing until the close of business on August 6, 2012 for the</w:t>
      </w:r>
      <w:r>
        <w:rPr>
          <w:b/>
          <w:sz w:val="22"/>
        </w:rPr>
        <w:t xml:space="preserve"> combined projects</w:t>
      </w:r>
      <w:r w:rsidRPr="00663728">
        <w:rPr>
          <w:sz w:val="22"/>
        </w:rPr>
        <w:t>.</w:t>
      </w:r>
    </w:p>
    <w:p w:rsidR="00663728" w:rsidRDefault="00663728" w:rsidP="003A492C">
      <w:pPr>
        <w:pStyle w:val="BodyText"/>
        <w:numPr>
          <w:ilvl w:val="12"/>
          <w:numId w:val="0"/>
        </w:numPr>
        <w:tabs>
          <w:tab w:val="left" w:pos="1260"/>
        </w:tabs>
        <w:ind w:left="1267" w:hanging="1267"/>
        <w:rPr>
          <w:sz w:val="22"/>
        </w:rPr>
      </w:pPr>
      <w:r>
        <w:rPr>
          <w:sz w:val="22"/>
        </w:rPr>
        <w:t>08</w:t>
      </w:r>
      <w:r w:rsidRPr="00663728">
        <w:rPr>
          <w:sz w:val="22"/>
        </w:rPr>
        <w:t>/2</w:t>
      </w:r>
      <w:r>
        <w:rPr>
          <w:sz w:val="22"/>
        </w:rPr>
        <w:t>0</w:t>
      </w:r>
      <w:r w:rsidRPr="00663728">
        <w:rPr>
          <w:sz w:val="22"/>
        </w:rPr>
        <w:t>/2012:</w:t>
      </w:r>
      <w:r w:rsidRPr="00663728">
        <w:rPr>
          <w:sz w:val="22"/>
        </w:rPr>
        <w:tab/>
        <w:t xml:space="preserve">Tampa Electric Company requested a </w:t>
      </w:r>
      <w:r w:rsidR="00BC2743">
        <w:rPr>
          <w:sz w:val="22"/>
        </w:rPr>
        <w:t>forth</w:t>
      </w:r>
      <w:r w:rsidRPr="00663728">
        <w:rPr>
          <w:sz w:val="22"/>
        </w:rPr>
        <w:t xml:space="preserve"> extension of time to petition for a formal administrative hearing until the close of business on </w:t>
      </w:r>
      <w:r>
        <w:rPr>
          <w:sz w:val="22"/>
        </w:rPr>
        <w:t xml:space="preserve">September </w:t>
      </w:r>
      <w:r w:rsidR="00BC2743">
        <w:rPr>
          <w:sz w:val="22"/>
        </w:rPr>
        <w:t>18</w:t>
      </w:r>
      <w:r w:rsidRPr="00663728">
        <w:rPr>
          <w:sz w:val="22"/>
        </w:rPr>
        <w:t xml:space="preserve">, 2012 for </w:t>
      </w:r>
      <w:r w:rsidRPr="00663728">
        <w:rPr>
          <w:b/>
          <w:sz w:val="22"/>
        </w:rPr>
        <w:t>the combined projects</w:t>
      </w:r>
      <w:r w:rsidRPr="00663728">
        <w:rPr>
          <w:sz w:val="22"/>
        </w:rPr>
        <w:t>.</w:t>
      </w:r>
    </w:p>
    <w:p w:rsidR="00193F10" w:rsidRPr="008B1DC5" w:rsidRDefault="00D51D78" w:rsidP="003A492C">
      <w:pPr>
        <w:pStyle w:val="ListParagraph"/>
        <w:numPr>
          <w:ilvl w:val="0"/>
          <w:numId w:val="5"/>
        </w:numPr>
        <w:spacing w:before="120" w:after="120" w:line="240" w:lineRule="auto"/>
        <w:ind w:hanging="720"/>
        <w:contextualSpacing w:val="0"/>
        <w:rPr>
          <w:rFonts w:ascii="Times New Roman" w:hAnsi="Times New Roman" w:cs="Times New Roman"/>
          <w:b/>
          <w:caps/>
        </w:rPr>
      </w:pPr>
      <w:r w:rsidRPr="008B1DC5">
        <w:rPr>
          <w:rFonts w:ascii="Times New Roman" w:hAnsi="Times New Roman" w:cs="Times New Roman"/>
          <w:b/>
          <w:caps/>
        </w:rPr>
        <w:t>PSD Applicability</w:t>
      </w:r>
    </w:p>
    <w:p w:rsidR="00D51D78" w:rsidRPr="002C66F8" w:rsidRDefault="00D51D78" w:rsidP="00511785">
      <w:pPr>
        <w:pStyle w:val="ListParagraph"/>
        <w:numPr>
          <w:ilvl w:val="0"/>
          <w:numId w:val="10"/>
        </w:numPr>
        <w:spacing w:after="120"/>
        <w:ind w:hanging="720"/>
        <w:contextualSpacing w:val="0"/>
        <w:rPr>
          <w:rFonts w:ascii="Times New Roman" w:hAnsi="Times New Roman" w:cs="Times New Roman"/>
          <w:b/>
          <w:caps/>
        </w:rPr>
      </w:pPr>
      <w:r w:rsidRPr="002C66F8">
        <w:rPr>
          <w:rFonts w:ascii="Times New Roman" w:hAnsi="Times New Roman" w:cs="Times New Roman"/>
          <w:b/>
        </w:rPr>
        <w:t>General PSD Applicability</w:t>
      </w:r>
    </w:p>
    <w:p w:rsidR="005C0768" w:rsidRPr="005C0768" w:rsidRDefault="005C0768" w:rsidP="005C0768">
      <w:pPr>
        <w:widowControl w:val="0"/>
        <w:spacing w:after="120"/>
        <w:rPr>
          <w:rFonts w:eastAsia="Calibri"/>
          <w:sz w:val="22"/>
          <w:szCs w:val="22"/>
        </w:rPr>
      </w:pPr>
      <w:r w:rsidRPr="005C0768">
        <w:rPr>
          <w:rFonts w:eastAsia="Calibri"/>
          <w:sz w:val="22"/>
          <w:szCs w:val="22"/>
        </w:rPr>
        <w:t xml:space="preserve">The Department regulates major stationary sources in accordance with Florida’s PSD program pursuant to Rule 62-212.400, F.A.C.  PSD preconstruction review is required in areas that are currently in attainment with the state and federal AAQS or areas designated as “unclassifiable” for these regulated pollutants.  PSD pollutants include: </w:t>
      </w:r>
      <w:r w:rsidR="00694A38">
        <w:rPr>
          <w:rFonts w:eastAsia="Calibri"/>
          <w:sz w:val="22"/>
          <w:szCs w:val="22"/>
        </w:rPr>
        <w:t>carbon monoxide (</w:t>
      </w:r>
      <w:r w:rsidRPr="005C0768">
        <w:rPr>
          <w:rFonts w:eastAsia="Calibri"/>
          <w:sz w:val="22"/>
          <w:szCs w:val="22"/>
        </w:rPr>
        <w:t>CO</w:t>
      </w:r>
      <w:r w:rsidR="00694A38">
        <w:rPr>
          <w:rFonts w:eastAsia="Calibri"/>
          <w:sz w:val="22"/>
          <w:szCs w:val="22"/>
        </w:rPr>
        <w:t>)</w:t>
      </w:r>
      <w:r w:rsidRPr="005C0768">
        <w:rPr>
          <w:rFonts w:eastAsia="Calibri"/>
          <w:sz w:val="22"/>
          <w:szCs w:val="22"/>
        </w:rPr>
        <w:t>; NO</w:t>
      </w:r>
      <w:r w:rsidR="00EC1565" w:rsidRPr="00D95CA8">
        <w:rPr>
          <w:sz w:val="22"/>
          <w:szCs w:val="22"/>
          <w:vertAlign w:val="subscript"/>
        </w:rPr>
        <w:t>X</w:t>
      </w:r>
      <w:r w:rsidRPr="005C0768">
        <w:rPr>
          <w:rFonts w:eastAsia="Calibri"/>
          <w:sz w:val="22"/>
          <w:szCs w:val="22"/>
        </w:rPr>
        <w:t>; sulfur dioxide (SO</w:t>
      </w:r>
      <w:r w:rsidR="00EC1565" w:rsidRPr="00D95CA8">
        <w:rPr>
          <w:sz w:val="22"/>
          <w:szCs w:val="22"/>
          <w:vertAlign w:val="subscript"/>
        </w:rPr>
        <w:t>2</w:t>
      </w:r>
      <w:r w:rsidRPr="005C0768">
        <w:rPr>
          <w:rFonts w:eastAsia="Calibri"/>
          <w:sz w:val="22"/>
          <w:szCs w:val="22"/>
        </w:rPr>
        <w:t>); particulate matter (PM); PM smaller than 10 micrometers (PM</w:t>
      </w:r>
      <w:r w:rsidR="00EC1565" w:rsidRPr="00D95CA8">
        <w:rPr>
          <w:vertAlign w:val="subscript"/>
        </w:rPr>
        <w:t>10</w:t>
      </w:r>
      <w:r w:rsidRPr="005C0768">
        <w:rPr>
          <w:rFonts w:eastAsia="Calibri"/>
          <w:sz w:val="22"/>
          <w:szCs w:val="22"/>
        </w:rPr>
        <w:t xml:space="preserve">); volatile organic compounds (VOC); lead (Pb); Fluorides (F); sulfuric acid mist (SAM); total reduced sulfur (TRS), including </w:t>
      </w:r>
      <w:r w:rsidR="00694A38">
        <w:rPr>
          <w:rFonts w:eastAsia="Calibri"/>
          <w:sz w:val="22"/>
          <w:szCs w:val="22"/>
        </w:rPr>
        <w:t>hydrogen sulfide (</w:t>
      </w:r>
      <w:r w:rsidRPr="005C0768">
        <w:rPr>
          <w:rFonts w:eastAsia="Calibri"/>
          <w:sz w:val="22"/>
          <w:szCs w:val="22"/>
        </w:rPr>
        <w:t>H</w:t>
      </w:r>
      <w:r w:rsidR="00EC1565" w:rsidRPr="00D95CA8">
        <w:rPr>
          <w:vertAlign w:val="subscript"/>
        </w:rPr>
        <w:t>2</w:t>
      </w:r>
      <w:r w:rsidRPr="005C0768">
        <w:rPr>
          <w:rFonts w:eastAsia="Calibri"/>
          <w:sz w:val="22"/>
          <w:szCs w:val="22"/>
        </w:rPr>
        <w:t>S</w:t>
      </w:r>
      <w:r w:rsidR="00694A38">
        <w:rPr>
          <w:rFonts w:eastAsia="Calibri"/>
          <w:sz w:val="22"/>
          <w:szCs w:val="22"/>
        </w:rPr>
        <w:t>)</w:t>
      </w:r>
      <w:r w:rsidRPr="005C0768">
        <w:rPr>
          <w:rFonts w:eastAsia="Calibri"/>
          <w:sz w:val="22"/>
          <w:szCs w:val="22"/>
        </w:rPr>
        <w:t>; municipal waste combustor (MWC) organics measured as total tetra- through octa-chlorinated dibenzo-p-dioxins and dibenzofurans (D/F); MWC metals measured as PM; MWC acid gases measured as SO</w:t>
      </w:r>
      <w:r w:rsidR="00EC1565" w:rsidRPr="00D95CA8">
        <w:rPr>
          <w:vertAlign w:val="subscript"/>
        </w:rPr>
        <w:t>2</w:t>
      </w:r>
      <w:r w:rsidRPr="005C0768">
        <w:rPr>
          <w:rFonts w:eastAsia="Calibri"/>
          <w:sz w:val="22"/>
          <w:szCs w:val="22"/>
        </w:rPr>
        <w:t xml:space="preserve"> and hydrogen chloride (HCl); and mercury (Hg).  </w:t>
      </w:r>
    </w:p>
    <w:p w:rsidR="005C0768" w:rsidRPr="005C0768" w:rsidRDefault="005C0768" w:rsidP="005C0768">
      <w:pPr>
        <w:widowControl w:val="0"/>
        <w:spacing w:after="120"/>
        <w:rPr>
          <w:rFonts w:eastAsia="Calibri"/>
          <w:sz w:val="22"/>
          <w:szCs w:val="22"/>
        </w:rPr>
      </w:pPr>
      <w:r w:rsidRPr="005C0768">
        <w:rPr>
          <w:rFonts w:eastAsia="Calibri"/>
          <w:sz w:val="22"/>
          <w:szCs w:val="22"/>
        </w:rPr>
        <w:t xml:space="preserve">As defined in Rule 62-210.200(179)(a)1, F.A.C., a “major stationary source” is any of 28 listed stationary sources of air pollutants which emits, or has the potential to emit, 100 tons per year (TPY) or more of any PSD pollutant.  </w:t>
      </w:r>
      <w:hyperlink r:id="rId11" w:history="1">
        <w:r w:rsidRPr="005C0768">
          <w:rPr>
            <w:rFonts w:eastAsia="Calibri"/>
            <w:color w:val="0000FF"/>
            <w:sz w:val="22"/>
            <w:szCs w:val="22"/>
            <w:u w:val="single"/>
          </w:rPr>
          <w:t>Link to Rule 62-210, F.A.C.</w:t>
        </w:r>
      </w:hyperlink>
      <w:r w:rsidRPr="005C0768">
        <w:rPr>
          <w:rFonts w:eastAsia="Calibri"/>
          <w:sz w:val="22"/>
          <w:szCs w:val="22"/>
        </w:rPr>
        <w:t xml:space="preserve"> </w:t>
      </w:r>
      <w:r w:rsidR="003A492C">
        <w:rPr>
          <w:rFonts w:eastAsia="Calibri"/>
          <w:sz w:val="22"/>
          <w:szCs w:val="22"/>
        </w:rPr>
        <w:t xml:space="preserve"> </w:t>
      </w:r>
      <w:r w:rsidRPr="005C0768">
        <w:rPr>
          <w:rFonts w:eastAsia="Calibri"/>
          <w:sz w:val="22"/>
          <w:szCs w:val="22"/>
        </w:rPr>
        <w:t xml:space="preserve">The list given in the citation includes the category of “fossil fuel-fired steam electric plants of more than 250 </w:t>
      </w:r>
      <w:r w:rsidR="00442BCF">
        <w:rPr>
          <w:rFonts w:eastAsia="Calibri"/>
          <w:sz w:val="22"/>
          <w:szCs w:val="22"/>
        </w:rPr>
        <w:t>MMBtu/hr</w:t>
      </w:r>
      <w:r w:rsidRPr="005C0768">
        <w:rPr>
          <w:rFonts w:eastAsia="Calibri"/>
          <w:sz w:val="22"/>
          <w:szCs w:val="22"/>
        </w:rPr>
        <w:t>”.  The Polk Power Station is a major stationary source based on its actual emissions and its potential to emit PSD pollutants.  The major stationary source threshold for source categories not on the cited list is 250 TPY or more of any PSD pollutant.</w:t>
      </w:r>
    </w:p>
    <w:p w:rsidR="005C0768" w:rsidRPr="005C0768" w:rsidRDefault="005C0768" w:rsidP="005C0768">
      <w:pPr>
        <w:widowControl w:val="0"/>
        <w:spacing w:after="120"/>
        <w:rPr>
          <w:rFonts w:eastAsia="Calibri"/>
          <w:sz w:val="22"/>
          <w:szCs w:val="22"/>
        </w:rPr>
      </w:pPr>
      <w:r w:rsidRPr="005C0768">
        <w:rPr>
          <w:rFonts w:eastAsia="Calibri"/>
          <w:sz w:val="22"/>
          <w:szCs w:val="22"/>
        </w:rPr>
        <w:t xml:space="preserve">For major stationary sources, PSD applicability is based on emissions thresholds known as the significant emission rates (SER) as defined in Rule 62-210.200, (Definitions) F.A.C.  Emissions of PSD pollutants from the project that equal or exceed these SER are considered “significant”.  </w:t>
      </w:r>
      <w:r w:rsidR="00442BCF">
        <w:rPr>
          <w:rFonts w:eastAsia="Calibri"/>
          <w:sz w:val="22"/>
          <w:szCs w:val="22"/>
        </w:rPr>
        <w:t>Best Available Control Technology (</w:t>
      </w:r>
      <w:r w:rsidRPr="005C0768">
        <w:rPr>
          <w:rFonts w:eastAsia="Calibri"/>
          <w:sz w:val="22"/>
          <w:szCs w:val="22"/>
        </w:rPr>
        <w:t>BACT</w:t>
      </w:r>
      <w:r w:rsidR="00442BCF">
        <w:rPr>
          <w:rFonts w:eastAsia="Calibri"/>
          <w:sz w:val="22"/>
          <w:szCs w:val="22"/>
        </w:rPr>
        <w:t>)</w:t>
      </w:r>
      <w:r w:rsidRPr="005C0768">
        <w:rPr>
          <w:rFonts w:eastAsia="Calibri"/>
          <w:sz w:val="22"/>
          <w:szCs w:val="22"/>
        </w:rPr>
        <w:t xml:space="preserve"> must be employed to minimize emissions of each PSD pollutant and an air quality impact analysis must be conducted for the PSD pollutants for which AAQS are defined.  SER also means any emissions rate or any net emissions increase of a PSD pollutant associated with a major stationary source or major modification which would construct within 10 </w:t>
      </w:r>
      <w:r w:rsidR="00442BCF">
        <w:rPr>
          <w:rFonts w:eastAsia="Calibri"/>
          <w:sz w:val="22"/>
          <w:szCs w:val="22"/>
        </w:rPr>
        <w:t>km</w:t>
      </w:r>
      <w:r w:rsidRPr="005C0768">
        <w:rPr>
          <w:rFonts w:eastAsia="Calibri"/>
          <w:sz w:val="22"/>
          <w:szCs w:val="22"/>
        </w:rPr>
        <w:t xml:space="preserve"> of a Class I area and have an impact on such area equal to or greater than 1 gram per cubic meter, 24-hour average.  </w:t>
      </w:r>
    </w:p>
    <w:p w:rsidR="005C0768" w:rsidRPr="005C0768" w:rsidRDefault="005C0768" w:rsidP="005C0768">
      <w:pPr>
        <w:widowControl w:val="0"/>
        <w:spacing w:after="120"/>
        <w:rPr>
          <w:rFonts w:eastAsia="Calibri"/>
          <w:sz w:val="22"/>
          <w:szCs w:val="22"/>
        </w:rPr>
      </w:pPr>
      <w:r w:rsidRPr="005C0768">
        <w:rPr>
          <w:rFonts w:eastAsia="Calibri"/>
          <w:sz w:val="22"/>
          <w:szCs w:val="22"/>
        </w:rPr>
        <w:t xml:space="preserve">Although a facility may be “major” for only one PSD pollutant, a project must include BACT controls for any PSD pollutant that exceeds the corresponding SER given in Table </w:t>
      </w:r>
      <w:r w:rsidR="001F10B9">
        <w:rPr>
          <w:rFonts w:eastAsia="Calibri"/>
          <w:sz w:val="22"/>
          <w:szCs w:val="22"/>
        </w:rPr>
        <w:t>1</w:t>
      </w:r>
      <w:r w:rsidRPr="005C0768">
        <w:rPr>
          <w:rFonts w:eastAsia="Calibri"/>
          <w:sz w:val="22"/>
          <w:szCs w:val="22"/>
        </w:rPr>
        <w:t>.</w:t>
      </w:r>
    </w:p>
    <w:p w:rsidR="005C0768" w:rsidRPr="005C0768" w:rsidRDefault="005C0768" w:rsidP="005C0768">
      <w:pPr>
        <w:autoSpaceDE w:val="0"/>
        <w:autoSpaceDN w:val="0"/>
        <w:adjustRightInd w:val="0"/>
        <w:spacing w:after="60"/>
        <w:rPr>
          <w:b/>
          <w:color w:val="000000"/>
          <w:sz w:val="22"/>
          <w:szCs w:val="22"/>
        </w:rPr>
      </w:pPr>
      <w:r w:rsidRPr="005C0768">
        <w:rPr>
          <w:b/>
          <w:color w:val="000000"/>
          <w:sz w:val="22"/>
          <w:szCs w:val="22"/>
        </w:rPr>
        <w:t xml:space="preserve">Table </w:t>
      </w:r>
      <w:r w:rsidR="001F10B9">
        <w:rPr>
          <w:b/>
          <w:color w:val="000000"/>
          <w:sz w:val="22"/>
          <w:szCs w:val="22"/>
        </w:rPr>
        <w:t>1</w:t>
      </w:r>
      <w:r w:rsidRPr="005C0768">
        <w:rPr>
          <w:b/>
          <w:color w:val="000000"/>
          <w:sz w:val="22"/>
          <w:szCs w:val="22"/>
        </w:rPr>
        <w:t xml:space="preserve"> – List of SER by PSD-Pollutant </w:t>
      </w:r>
      <w:r w:rsidRPr="005C0768">
        <w:rPr>
          <w:b/>
          <w:color w:val="000000"/>
          <w:sz w:val="22"/>
          <w:szCs w:val="22"/>
          <w:vertAlign w:val="superscript"/>
        </w:rPr>
        <w:t xml:space="preserve">1, </w:t>
      </w:r>
      <w:r w:rsidR="00ED0578">
        <w:rPr>
          <w:b/>
          <w:color w:val="000000"/>
          <w:sz w:val="22"/>
          <w:szCs w:val="22"/>
          <w:vertAlign w:val="superscript"/>
        </w:rPr>
        <w:t>3</w:t>
      </w:r>
    </w:p>
    <w:tbl>
      <w:tblPr>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tblPr>
      <w:tblGrid>
        <w:gridCol w:w="2280"/>
        <w:gridCol w:w="2640"/>
        <w:gridCol w:w="2160"/>
        <w:gridCol w:w="2280"/>
      </w:tblGrid>
      <w:tr w:rsidR="005C0768" w:rsidRPr="005C0768" w:rsidTr="00412A30">
        <w:trPr>
          <w:trHeight w:val="290"/>
        </w:trPr>
        <w:tc>
          <w:tcPr>
            <w:tcW w:w="2280" w:type="dxa"/>
            <w:tcBorders>
              <w:top w:val="single" w:sz="12" w:space="0" w:color="000000"/>
              <w:left w:val="single" w:sz="12" w:space="0" w:color="000000"/>
              <w:bottom w:val="single" w:sz="12" w:space="0" w:color="000000"/>
              <w:right w:val="single" w:sz="4" w:space="0" w:color="auto"/>
            </w:tcBorders>
            <w:vAlign w:val="center"/>
            <w:hideMark/>
          </w:tcPr>
          <w:p w:rsidR="005C0768" w:rsidRPr="00412A30" w:rsidRDefault="005C0768" w:rsidP="005C0768">
            <w:pPr>
              <w:autoSpaceDE w:val="0"/>
              <w:autoSpaceDN w:val="0"/>
              <w:adjustRightInd w:val="0"/>
              <w:rPr>
                <w:b/>
                <w:color w:val="000000"/>
              </w:rPr>
            </w:pPr>
            <w:r w:rsidRPr="00412A30">
              <w:rPr>
                <w:b/>
                <w:color w:val="000000"/>
              </w:rPr>
              <w:t xml:space="preserve">Pollutant </w:t>
            </w:r>
          </w:p>
        </w:tc>
        <w:tc>
          <w:tcPr>
            <w:tcW w:w="2640" w:type="dxa"/>
            <w:tcBorders>
              <w:top w:val="single" w:sz="12" w:space="0" w:color="000000"/>
              <w:left w:val="single" w:sz="4" w:space="0" w:color="auto"/>
              <w:bottom w:val="single" w:sz="12" w:space="0" w:color="000000"/>
              <w:right w:val="double" w:sz="4" w:space="0" w:color="auto"/>
            </w:tcBorders>
            <w:vAlign w:val="center"/>
            <w:hideMark/>
          </w:tcPr>
          <w:p w:rsidR="005C0768" w:rsidRPr="00412A30" w:rsidRDefault="005C0768" w:rsidP="005C0768">
            <w:pPr>
              <w:autoSpaceDE w:val="0"/>
              <w:autoSpaceDN w:val="0"/>
              <w:adjustRightInd w:val="0"/>
              <w:jc w:val="center"/>
              <w:rPr>
                <w:b/>
                <w:color w:val="000000"/>
              </w:rPr>
            </w:pPr>
            <w:r w:rsidRPr="00412A30">
              <w:rPr>
                <w:b/>
                <w:color w:val="000000"/>
              </w:rPr>
              <w:t>SER (TPY)</w:t>
            </w:r>
          </w:p>
        </w:tc>
        <w:tc>
          <w:tcPr>
            <w:tcW w:w="2160" w:type="dxa"/>
            <w:tcBorders>
              <w:top w:val="single" w:sz="12" w:space="0" w:color="000000"/>
              <w:left w:val="double" w:sz="4" w:space="0" w:color="auto"/>
              <w:bottom w:val="single" w:sz="12" w:space="0" w:color="000000"/>
              <w:right w:val="single" w:sz="4" w:space="0" w:color="auto"/>
            </w:tcBorders>
            <w:vAlign w:val="center"/>
            <w:hideMark/>
          </w:tcPr>
          <w:p w:rsidR="005C0768" w:rsidRPr="00412A30" w:rsidRDefault="005C0768" w:rsidP="005C0768">
            <w:pPr>
              <w:autoSpaceDE w:val="0"/>
              <w:autoSpaceDN w:val="0"/>
              <w:adjustRightInd w:val="0"/>
              <w:rPr>
                <w:b/>
                <w:color w:val="000000"/>
              </w:rPr>
            </w:pPr>
            <w:r w:rsidRPr="00412A30">
              <w:rPr>
                <w:b/>
                <w:color w:val="000000"/>
              </w:rPr>
              <w:t xml:space="preserve">Pollutant </w:t>
            </w:r>
          </w:p>
        </w:tc>
        <w:tc>
          <w:tcPr>
            <w:tcW w:w="2280" w:type="dxa"/>
            <w:tcBorders>
              <w:top w:val="single" w:sz="12" w:space="0" w:color="000000"/>
              <w:left w:val="single" w:sz="4" w:space="0" w:color="auto"/>
              <w:bottom w:val="single" w:sz="12" w:space="0" w:color="000000"/>
              <w:right w:val="single" w:sz="12" w:space="0" w:color="000000"/>
            </w:tcBorders>
            <w:vAlign w:val="center"/>
            <w:hideMark/>
          </w:tcPr>
          <w:p w:rsidR="005C0768" w:rsidRPr="00412A30" w:rsidRDefault="005C0768" w:rsidP="005C0768">
            <w:pPr>
              <w:autoSpaceDE w:val="0"/>
              <w:autoSpaceDN w:val="0"/>
              <w:adjustRightInd w:val="0"/>
              <w:jc w:val="center"/>
              <w:rPr>
                <w:b/>
                <w:color w:val="000000"/>
              </w:rPr>
            </w:pPr>
            <w:r w:rsidRPr="00412A30">
              <w:rPr>
                <w:b/>
                <w:color w:val="000000"/>
              </w:rPr>
              <w:t>SER (TPY)</w:t>
            </w:r>
          </w:p>
        </w:tc>
      </w:tr>
      <w:tr w:rsidR="005C0768" w:rsidRPr="005C0768" w:rsidTr="00412A30">
        <w:trPr>
          <w:trHeight w:val="264"/>
        </w:trPr>
        <w:tc>
          <w:tcPr>
            <w:tcW w:w="2280" w:type="dxa"/>
            <w:tcBorders>
              <w:top w:val="single" w:sz="12" w:space="0" w:color="000000"/>
              <w:left w:val="single" w:sz="12" w:space="0" w:color="auto"/>
              <w:bottom w:val="single" w:sz="6" w:space="0" w:color="000000"/>
              <w:right w:val="single" w:sz="12" w:space="0" w:color="auto"/>
            </w:tcBorders>
            <w:vAlign w:val="center"/>
            <w:hideMark/>
          </w:tcPr>
          <w:p w:rsidR="005C0768" w:rsidRPr="005C0768" w:rsidRDefault="005C0768" w:rsidP="005C0768">
            <w:pPr>
              <w:autoSpaceDE w:val="0"/>
              <w:autoSpaceDN w:val="0"/>
              <w:adjustRightInd w:val="0"/>
              <w:rPr>
                <w:color w:val="000000"/>
              </w:rPr>
            </w:pPr>
            <w:r w:rsidRPr="005C0768">
              <w:rPr>
                <w:color w:val="000000"/>
              </w:rPr>
              <w:t xml:space="preserve">CO </w:t>
            </w:r>
          </w:p>
        </w:tc>
        <w:tc>
          <w:tcPr>
            <w:tcW w:w="2640" w:type="dxa"/>
            <w:tcBorders>
              <w:top w:val="single" w:sz="12" w:space="0" w:color="000000"/>
              <w:left w:val="single" w:sz="12" w:space="0" w:color="auto"/>
              <w:bottom w:val="single" w:sz="6" w:space="0" w:color="000000"/>
              <w:right w:val="double" w:sz="12" w:space="0" w:color="auto"/>
            </w:tcBorders>
            <w:vAlign w:val="center"/>
            <w:hideMark/>
          </w:tcPr>
          <w:p w:rsidR="005C0768" w:rsidRPr="005C0768" w:rsidRDefault="005C0768" w:rsidP="005C0768">
            <w:pPr>
              <w:autoSpaceDE w:val="0"/>
              <w:autoSpaceDN w:val="0"/>
              <w:adjustRightInd w:val="0"/>
              <w:jc w:val="center"/>
              <w:rPr>
                <w:color w:val="000000"/>
              </w:rPr>
            </w:pPr>
            <w:r w:rsidRPr="005C0768">
              <w:rPr>
                <w:color w:val="000000"/>
              </w:rPr>
              <w:t>100</w:t>
            </w:r>
          </w:p>
        </w:tc>
        <w:tc>
          <w:tcPr>
            <w:tcW w:w="2160" w:type="dxa"/>
            <w:tcBorders>
              <w:top w:val="single" w:sz="12" w:space="0" w:color="000000"/>
              <w:left w:val="double" w:sz="12" w:space="0" w:color="auto"/>
              <w:bottom w:val="single" w:sz="6" w:space="0" w:color="000000"/>
              <w:right w:val="single" w:sz="12" w:space="0" w:color="auto"/>
            </w:tcBorders>
            <w:vAlign w:val="center"/>
            <w:hideMark/>
          </w:tcPr>
          <w:p w:rsidR="005C0768" w:rsidRPr="005C0768" w:rsidRDefault="005C0768" w:rsidP="005C0768">
            <w:pPr>
              <w:autoSpaceDE w:val="0"/>
              <w:autoSpaceDN w:val="0"/>
              <w:adjustRightInd w:val="0"/>
              <w:rPr>
                <w:color w:val="000000"/>
              </w:rPr>
            </w:pPr>
            <w:r w:rsidRPr="005C0768">
              <w:rPr>
                <w:color w:val="000000"/>
              </w:rPr>
              <w:t>NO</w:t>
            </w:r>
            <w:r w:rsidRPr="00D95CA8">
              <w:rPr>
                <w:color w:val="000000"/>
                <w:sz w:val="22"/>
                <w:szCs w:val="22"/>
                <w:vertAlign w:val="subscript"/>
              </w:rPr>
              <w:t>X</w:t>
            </w:r>
            <w:r w:rsidRPr="005C0768">
              <w:rPr>
                <w:color w:val="000000"/>
              </w:rPr>
              <w:t xml:space="preserve"> </w:t>
            </w:r>
          </w:p>
        </w:tc>
        <w:tc>
          <w:tcPr>
            <w:tcW w:w="2280" w:type="dxa"/>
            <w:tcBorders>
              <w:top w:val="single" w:sz="12" w:space="0" w:color="000000"/>
              <w:left w:val="single" w:sz="12" w:space="0" w:color="auto"/>
              <w:bottom w:val="single" w:sz="6" w:space="0" w:color="000000"/>
              <w:right w:val="single" w:sz="12" w:space="0" w:color="auto"/>
            </w:tcBorders>
            <w:vAlign w:val="center"/>
            <w:hideMark/>
          </w:tcPr>
          <w:p w:rsidR="005C0768" w:rsidRPr="005C0768" w:rsidRDefault="005C0768" w:rsidP="005C0768">
            <w:pPr>
              <w:autoSpaceDE w:val="0"/>
              <w:autoSpaceDN w:val="0"/>
              <w:adjustRightInd w:val="0"/>
              <w:jc w:val="center"/>
              <w:rPr>
                <w:color w:val="000000"/>
              </w:rPr>
            </w:pPr>
            <w:r w:rsidRPr="005C0768">
              <w:rPr>
                <w:color w:val="000000"/>
              </w:rPr>
              <w:t>40</w:t>
            </w:r>
          </w:p>
        </w:tc>
      </w:tr>
      <w:tr w:rsidR="005C0768" w:rsidRPr="005C0768" w:rsidTr="00412A30">
        <w:trPr>
          <w:trHeight w:val="264"/>
        </w:trPr>
        <w:tc>
          <w:tcPr>
            <w:tcW w:w="2280" w:type="dxa"/>
            <w:tcBorders>
              <w:top w:val="single" w:sz="6" w:space="0" w:color="000000"/>
              <w:left w:val="single" w:sz="12" w:space="0" w:color="auto"/>
              <w:bottom w:val="single" w:sz="6" w:space="0" w:color="000000"/>
              <w:right w:val="single" w:sz="12" w:space="0" w:color="auto"/>
            </w:tcBorders>
            <w:vAlign w:val="center"/>
            <w:hideMark/>
          </w:tcPr>
          <w:p w:rsidR="005C0768" w:rsidRPr="005C0768" w:rsidRDefault="005C0768" w:rsidP="00ED0578">
            <w:pPr>
              <w:autoSpaceDE w:val="0"/>
              <w:autoSpaceDN w:val="0"/>
              <w:adjustRightInd w:val="0"/>
              <w:rPr>
                <w:color w:val="000000"/>
              </w:rPr>
            </w:pPr>
            <w:r w:rsidRPr="005C0768">
              <w:rPr>
                <w:color w:val="000000"/>
              </w:rPr>
              <w:t>PM/PM</w:t>
            </w:r>
            <w:r w:rsidR="00EC1565" w:rsidRPr="00D95CA8">
              <w:rPr>
                <w:sz w:val="22"/>
                <w:szCs w:val="22"/>
                <w:vertAlign w:val="subscript"/>
              </w:rPr>
              <w:t>10</w:t>
            </w:r>
            <w:r w:rsidR="00ED0578">
              <w:rPr>
                <w:color w:val="000000"/>
              </w:rPr>
              <w:t>/PM</w:t>
            </w:r>
            <w:r w:rsidR="00ED0578" w:rsidRPr="00ED0578">
              <w:rPr>
                <w:color w:val="000000"/>
                <w:vertAlign w:val="subscript"/>
              </w:rPr>
              <w:t>2.5</w:t>
            </w:r>
          </w:p>
        </w:tc>
        <w:tc>
          <w:tcPr>
            <w:tcW w:w="2640" w:type="dxa"/>
            <w:tcBorders>
              <w:top w:val="single" w:sz="6" w:space="0" w:color="000000"/>
              <w:left w:val="single" w:sz="12" w:space="0" w:color="auto"/>
              <w:bottom w:val="single" w:sz="6" w:space="0" w:color="000000"/>
              <w:right w:val="double" w:sz="12" w:space="0" w:color="auto"/>
            </w:tcBorders>
            <w:vAlign w:val="center"/>
            <w:hideMark/>
          </w:tcPr>
          <w:p w:rsidR="005C0768" w:rsidRPr="005C0768" w:rsidRDefault="005C0768" w:rsidP="005C0768">
            <w:pPr>
              <w:autoSpaceDE w:val="0"/>
              <w:autoSpaceDN w:val="0"/>
              <w:adjustRightInd w:val="0"/>
              <w:jc w:val="center"/>
              <w:rPr>
                <w:color w:val="000000"/>
              </w:rPr>
            </w:pPr>
            <w:r w:rsidRPr="005C0768">
              <w:rPr>
                <w:color w:val="000000"/>
              </w:rPr>
              <w:t>25/15</w:t>
            </w:r>
            <w:r w:rsidR="00ED0578">
              <w:rPr>
                <w:color w:val="000000"/>
              </w:rPr>
              <w:t>/10</w:t>
            </w:r>
          </w:p>
        </w:tc>
        <w:tc>
          <w:tcPr>
            <w:tcW w:w="2160" w:type="dxa"/>
            <w:tcBorders>
              <w:top w:val="single" w:sz="6" w:space="0" w:color="000000"/>
              <w:left w:val="double" w:sz="12" w:space="0" w:color="auto"/>
              <w:bottom w:val="single" w:sz="6" w:space="0" w:color="000000"/>
              <w:right w:val="single" w:sz="12" w:space="0" w:color="auto"/>
            </w:tcBorders>
            <w:vAlign w:val="center"/>
            <w:hideMark/>
          </w:tcPr>
          <w:p w:rsidR="005C0768" w:rsidRPr="005C0768" w:rsidRDefault="005C0768" w:rsidP="00ED0578">
            <w:pPr>
              <w:autoSpaceDE w:val="0"/>
              <w:autoSpaceDN w:val="0"/>
              <w:adjustRightInd w:val="0"/>
              <w:rPr>
                <w:color w:val="000000"/>
              </w:rPr>
            </w:pPr>
            <w:r w:rsidRPr="005C0768">
              <w:rPr>
                <w:color w:val="000000"/>
              </w:rPr>
              <w:t xml:space="preserve">Ozone (VOC) </w:t>
            </w:r>
            <w:r w:rsidR="00ED0578">
              <w:rPr>
                <w:b/>
                <w:color w:val="000000"/>
                <w:vertAlign w:val="superscript"/>
              </w:rPr>
              <w:t>2</w:t>
            </w:r>
          </w:p>
        </w:tc>
        <w:tc>
          <w:tcPr>
            <w:tcW w:w="2280" w:type="dxa"/>
            <w:tcBorders>
              <w:top w:val="single" w:sz="6" w:space="0" w:color="000000"/>
              <w:left w:val="single" w:sz="12" w:space="0" w:color="auto"/>
              <w:bottom w:val="single" w:sz="6" w:space="0" w:color="000000"/>
              <w:right w:val="single" w:sz="12" w:space="0" w:color="auto"/>
            </w:tcBorders>
            <w:vAlign w:val="center"/>
            <w:hideMark/>
          </w:tcPr>
          <w:p w:rsidR="005C0768" w:rsidRPr="005C0768" w:rsidRDefault="005C0768" w:rsidP="005C0768">
            <w:pPr>
              <w:autoSpaceDE w:val="0"/>
              <w:autoSpaceDN w:val="0"/>
              <w:adjustRightInd w:val="0"/>
              <w:jc w:val="center"/>
              <w:rPr>
                <w:color w:val="000000"/>
              </w:rPr>
            </w:pPr>
            <w:r w:rsidRPr="005C0768">
              <w:rPr>
                <w:color w:val="000000"/>
              </w:rPr>
              <w:t>40</w:t>
            </w:r>
          </w:p>
        </w:tc>
      </w:tr>
      <w:tr w:rsidR="005C0768" w:rsidRPr="005C0768" w:rsidTr="00412A30">
        <w:trPr>
          <w:trHeight w:val="246"/>
        </w:trPr>
        <w:tc>
          <w:tcPr>
            <w:tcW w:w="2280" w:type="dxa"/>
            <w:tcBorders>
              <w:top w:val="single" w:sz="6" w:space="0" w:color="000000"/>
              <w:left w:val="single" w:sz="12" w:space="0" w:color="auto"/>
              <w:bottom w:val="single" w:sz="6" w:space="0" w:color="000000"/>
              <w:right w:val="single" w:sz="12" w:space="0" w:color="auto"/>
            </w:tcBorders>
            <w:vAlign w:val="center"/>
            <w:hideMark/>
          </w:tcPr>
          <w:p w:rsidR="005C0768" w:rsidRPr="005C0768" w:rsidRDefault="005C0768" w:rsidP="00ED0578">
            <w:pPr>
              <w:autoSpaceDE w:val="0"/>
              <w:autoSpaceDN w:val="0"/>
              <w:adjustRightInd w:val="0"/>
              <w:rPr>
                <w:color w:val="000000"/>
              </w:rPr>
            </w:pPr>
            <w:r w:rsidRPr="005C0768">
              <w:rPr>
                <w:color w:val="000000"/>
              </w:rPr>
              <w:t>Ozone (NO</w:t>
            </w:r>
            <w:r w:rsidR="00EC1565" w:rsidRPr="00D95CA8">
              <w:rPr>
                <w:sz w:val="22"/>
                <w:szCs w:val="22"/>
                <w:vertAlign w:val="subscript"/>
              </w:rPr>
              <w:t>X</w:t>
            </w:r>
            <w:r w:rsidRPr="005C0768">
              <w:rPr>
                <w:color w:val="000000"/>
              </w:rPr>
              <w:t xml:space="preserve">) </w:t>
            </w:r>
            <w:r w:rsidR="00ED0578">
              <w:rPr>
                <w:b/>
                <w:color w:val="000000"/>
                <w:vertAlign w:val="superscript"/>
              </w:rPr>
              <w:t>2</w:t>
            </w:r>
          </w:p>
        </w:tc>
        <w:tc>
          <w:tcPr>
            <w:tcW w:w="2640" w:type="dxa"/>
            <w:tcBorders>
              <w:top w:val="single" w:sz="6" w:space="0" w:color="000000"/>
              <w:left w:val="single" w:sz="12" w:space="0" w:color="auto"/>
              <w:bottom w:val="single" w:sz="6" w:space="0" w:color="000000"/>
              <w:right w:val="double" w:sz="12" w:space="0" w:color="auto"/>
            </w:tcBorders>
            <w:vAlign w:val="center"/>
            <w:hideMark/>
          </w:tcPr>
          <w:p w:rsidR="005C0768" w:rsidRPr="005C0768" w:rsidRDefault="005C0768" w:rsidP="005C0768">
            <w:pPr>
              <w:autoSpaceDE w:val="0"/>
              <w:autoSpaceDN w:val="0"/>
              <w:adjustRightInd w:val="0"/>
              <w:jc w:val="center"/>
              <w:rPr>
                <w:color w:val="000000"/>
              </w:rPr>
            </w:pPr>
            <w:r w:rsidRPr="005C0768">
              <w:rPr>
                <w:color w:val="000000"/>
              </w:rPr>
              <w:t>40</w:t>
            </w:r>
          </w:p>
        </w:tc>
        <w:tc>
          <w:tcPr>
            <w:tcW w:w="2160" w:type="dxa"/>
            <w:tcBorders>
              <w:top w:val="single" w:sz="6" w:space="0" w:color="000000"/>
              <w:left w:val="double" w:sz="12" w:space="0" w:color="auto"/>
              <w:bottom w:val="single" w:sz="6" w:space="0" w:color="000000"/>
              <w:right w:val="single" w:sz="12" w:space="0" w:color="auto"/>
            </w:tcBorders>
            <w:vAlign w:val="center"/>
            <w:hideMark/>
          </w:tcPr>
          <w:p w:rsidR="005C0768" w:rsidRPr="005C0768" w:rsidRDefault="005C0768" w:rsidP="005C0768">
            <w:pPr>
              <w:autoSpaceDE w:val="0"/>
              <w:autoSpaceDN w:val="0"/>
              <w:adjustRightInd w:val="0"/>
              <w:rPr>
                <w:color w:val="000000"/>
              </w:rPr>
            </w:pPr>
            <w:r w:rsidRPr="005C0768">
              <w:rPr>
                <w:color w:val="000000"/>
              </w:rPr>
              <w:t xml:space="preserve">SAM </w:t>
            </w:r>
          </w:p>
        </w:tc>
        <w:tc>
          <w:tcPr>
            <w:tcW w:w="2280" w:type="dxa"/>
            <w:tcBorders>
              <w:top w:val="single" w:sz="6" w:space="0" w:color="000000"/>
              <w:left w:val="single" w:sz="12" w:space="0" w:color="auto"/>
              <w:bottom w:val="single" w:sz="6" w:space="0" w:color="000000"/>
              <w:right w:val="single" w:sz="12" w:space="0" w:color="auto"/>
            </w:tcBorders>
            <w:vAlign w:val="center"/>
            <w:hideMark/>
          </w:tcPr>
          <w:p w:rsidR="005C0768" w:rsidRPr="005C0768" w:rsidRDefault="005C0768" w:rsidP="005C0768">
            <w:pPr>
              <w:autoSpaceDE w:val="0"/>
              <w:autoSpaceDN w:val="0"/>
              <w:adjustRightInd w:val="0"/>
              <w:jc w:val="center"/>
              <w:rPr>
                <w:color w:val="000000"/>
              </w:rPr>
            </w:pPr>
            <w:r w:rsidRPr="005C0768">
              <w:rPr>
                <w:color w:val="000000"/>
              </w:rPr>
              <w:t>7</w:t>
            </w:r>
          </w:p>
        </w:tc>
      </w:tr>
      <w:tr w:rsidR="005C0768" w:rsidRPr="005C0768" w:rsidTr="00412A30">
        <w:trPr>
          <w:trHeight w:val="255"/>
        </w:trPr>
        <w:tc>
          <w:tcPr>
            <w:tcW w:w="2280" w:type="dxa"/>
            <w:tcBorders>
              <w:top w:val="single" w:sz="6" w:space="0" w:color="000000"/>
              <w:left w:val="single" w:sz="12" w:space="0" w:color="auto"/>
              <w:bottom w:val="single" w:sz="6" w:space="0" w:color="000000"/>
              <w:right w:val="single" w:sz="12" w:space="0" w:color="auto"/>
            </w:tcBorders>
            <w:vAlign w:val="center"/>
            <w:hideMark/>
          </w:tcPr>
          <w:p w:rsidR="005C0768" w:rsidRPr="005C0768" w:rsidRDefault="005C0768" w:rsidP="005C0768">
            <w:pPr>
              <w:autoSpaceDE w:val="0"/>
              <w:autoSpaceDN w:val="0"/>
              <w:adjustRightInd w:val="0"/>
              <w:rPr>
                <w:color w:val="000000"/>
              </w:rPr>
            </w:pPr>
            <w:r w:rsidRPr="005C0768">
              <w:rPr>
                <w:color w:val="000000"/>
              </w:rPr>
              <w:t>SO</w:t>
            </w:r>
            <w:r w:rsidR="00EC1565" w:rsidRPr="00D95CA8">
              <w:rPr>
                <w:color w:val="000000"/>
                <w:sz w:val="22"/>
                <w:szCs w:val="22"/>
                <w:vertAlign w:val="subscript"/>
              </w:rPr>
              <w:t>2</w:t>
            </w:r>
            <w:r w:rsidRPr="005C0768">
              <w:rPr>
                <w:color w:val="000000"/>
              </w:rPr>
              <w:t xml:space="preserve"> </w:t>
            </w:r>
          </w:p>
        </w:tc>
        <w:tc>
          <w:tcPr>
            <w:tcW w:w="2640" w:type="dxa"/>
            <w:tcBorders>
              <w:top w:val="single" w:sz="6" w:space="0" w:color="000000"/>
              <w:left w:val="single" w:sz="12" w:space="0" w:color="auto"/>
              <w:bottom w:val="single" w:sz="6" w:space="0" w:color="000000"/>
              <w:right w:val="double" w:sz="12" w:space="0" w:color="auto"/>
            </w:tcBorders>
            <w:vAlign w:val="center"/>
            <w:hideMark/>
          </w:tcPr>
          <w:p w:rsidR="005C0768" w:rsidRPr="005C0768" w:rsidRDefault="005C0768" w:rsidP="005C0768">
            <w:pPr>
              <w:autoSpaceDE w:val="0"/>
              <w:autoSpaceDN w:val="0"/>
              <w:adjustRightInd w:val="0"/>
              <w:jc w:val="center"/>
              <w:rPr>
                <w:color w:val="000000"/>
              </w:rPr>
            </w:pPr>
            <w:r w:rsidRPr="005C0768">
              <w:rPr>
                <w:color w:val="000000"/>
              </w:rPr>
              <w:t>40</w:t>
            </w:r>
          </w:p>
        </w:tc>
        <w:tc>
          <w:tcPr>
            <w:tcW w:w="2160" w:type="dxa"/>
            <w:tcBorders>
              <w:top w:val="single" w:sz="6" w:space="0" w:color="000000"/>
              <w:left w:val="double" w:sz="12" w:space="0" w:color="auto"/>
              <w:bottom w:val="single" w:sz="6" w:space="0" w:color="000000"/>
              <w:right w:val="single" w:sz="12" w:space="0" w:color="auto"/>
            </w:tcBorders>
            <w:vAlign w:val="center"/>
            <w:hideMark/>
          </w:tcPr>
          <w:p w:rsidR="005C0768" w:rsidRPr="005C0768" w:rsidRDefault="005C0768" w:rsidP="005C0768">
            <w:pPr>
              <w:autoSpaceDE w:val="0"/>
              <w:autoSpaceDN w:val="0"/>
              <w:adjustRightInd w:val="0"/>
              <w:rPr>
                <w:color w:val="000000"/>
              </w:rPr>
            </w:pPr>
            <w:r w:rsidRPr="005C0768">
              <w:rPr>
                <w:color w:val="000000"/>
              </w:rPr>
              <w:t xml:space="preserve">F </w:t>
            </w:r>
          </w:p>
        </w:tc>
        <w:tc>
          <w:tcPr>
            <w:tcW w:w="2280" w:type="dxa"/>
            <w:tcBorders>
              <w:top w:val="single" w:sz="6" w:space="0" w:color="000000"/>
              <w:left w:val="single" w:sz="12" w:space="0" w:color="auto"/>
              <w:bottom w:val="single" w:sz="6" w:space="0" w:color="000000"/>
              <w:right w:val="single" w:sz="12" w:space="0" w:color="auto"/>
            </w:tcBorders>
            <w:vAlign w:val="center"/>
            <w:hideMark/>
          </w:tcPr>
          <w:p w:rsidR="005C0768" w:rsidRPr="005C0768" w:rsidRDefault="005C0768" w:rsidP="005C0768">
            <w:pPr>
              <w:autoSpaceDE w:val="0"/>
              <w:autoSpaceDN w:val="0"/>
              <w:adjustRightInd w:val="0"/>
              <w:jc w:val="center"/>
              <w:rPr>
                <w:color w:val="000000"/>
              </w:rPr>
            </w:pPr>
            <w:r w:rsidRPr="005C0768">
              <w:rPr>
                <w:color w:val="000000"/>
              </w:rPr>
              <w:t>3</w:t>
            </w:r>
          </w:p>
        </w:tc>
      </w:tr>
      <w:tr w:rsidR="005C0768" w:rsidRPr="005C0768" w:rsidTr="00412A30">
        <w:trPr>
          <w:trHeight w:val="255"/>
        </w:trPr>
        <w:tc>
          <w:tcPr>
            <w:tcW w:w="2280" w:type="dxa"/>
            <w:tcBorders>
              <w:top w:val="single" w:sz="6" w:space="0" w:color="000000"/>
              <w:left w:val="single" w:sz="12" w:space="0" w:color="auto"/>
              <w:bottom w:val="single" w:sz="6" w:space="0" w:color="000000"/>
              <w:right w:val="single" w:sz="12" w:space="0" w:color="auto"/>
            </w:tcBorders>
            <w:vAlign w:val="center"/>
            <w:hideMark/>
          </w:tcPr>
          <w:p w:rsidR="005C0768" w:rsidRPr="005C0768" w:rsidRDefault="005C0768" w:rsidP="005C0768">
            <w:pPr>
              <w:autoSpaceDE w:val="0"/>
              <w:autoSpaceDN w:val="0"/>
              <w:adjustRightInd w:val="0"/>
              <w:rPr>
                <w:color w:val="000000"/>
              </w:rPr>
            </w:pPr>
            <w:r w:rsidRPr="005C0768">
              <w:rPr>
                <w:color w:val="000000"/>
              </w:rPr>
              <w:t xml:space="preserve">Pb </w:t>
            </w:r>
          </w:p>
        </w:tc>
        <w:tc>
          <w:tcPr>
            <w:tcW w:w="2640" w:type="dxa"/>
            <w:tcBorders>
              <w:top w:val="single" w:sz="6" w:space="0" w:color="000000"/>
              <w:left w:val="single" w:sz="12" w:space="0" w:color="auto"/>
              <w:bottom w:val="single" w:sz="6" w:space="0" w:color="000000"/>
              <w:right w:val="double" w:sz="12" w:space="0" w:color="auto"/>
            </w:tcBorders>
            <w:vAlign w:val="center"/>
            <w:hideMark/>
          </w:tcPr>
          <w:p w:rsidR="005C0768" w:rsidRPr="005C0768" w:rsidRDefault="005C0768" w:rsidP="005C0768">
            <w:pPr>
              <w:autoSpaceDE w:val="0"/>
              <w:autoSpaceDN w:val="0"/>
              <w:adjustRightInd w:val="0"/>
              <w:jc w:val="center"/>
              <w:rPr>
                <w:color w:val="000000"/>
              </w:rPr>
            </w:pPr>
            <w:r w:rsidRPr="005C0768">
              <w:rPr>
                <w:color w:val="000000"/>
              </w:rPr>
              <w:t>0.6</w:t>
            </w:r>
          </w:p>
        </w:tc>
        <w:tc>
          <w:tcPr>
            <w:tcW w:w="2160" w:type="dxa"/>
            <w:tcBorders>
              <w:top w:val="single" w:sz="6" w:space="0" w:color="000000"/>
              <w:left w:val="double" w:sz="12" w:space="0" w:color="auto"/>
              <w:bottom w:val="single" w:sz="6" w:space="0" w:color="000000"/>
              <w:right w:val="single" w:sz="12" w:space="0" w:color="auto"/>
            </w:tcBorders>
            <w:vAlign w:val="center"/>
            <w:hideMark/>
          </w:tcPr>
          <w:p w:rsidR="005C0768" w:rsidRPr="005C0768" w:rsidRDefault="005C0768" w:rsidP="005C0768">
            <w:pPr>
              <w:autoSpaceDE w:val="0"/>
              <w:autoSpaceDN w:val="0"/>
              <w:adjustRightInd w:val="0"/>
              <w:rPr>
                <w:color w:val="000000"/>
              </w:rPr>
            </w:pPr>
            <w:r w:rsidRPr="005C0768">
              <w:rPr>
                <w:color w:val="000000"/>
              </w:rPr>
              <w:t xml:space="preserve">TRS </w:t>
            </w:r>
          </w:p>
        </w:tc>
        <w:tc>
          <w:tcPr>
            <w:tcW w:w="2280" w:type="dxa"/>
            <w:tcBorders>
              <w:top w:val="single" w:sz="6" w:space="0" w:color="000000"/>
              <w:left w:val="single" w:sz="12" w:space="0" w:color="auto"/>
              <w:bottom w:val="single" w:sz="6" w:space="0" w:color="000000"/>
              <w:right w:val="single" w:sz="12" w:space="0" w:color="auto"/>
            </w:tcBorders>
            <w:vAlign w:val="center"/>
            <w:hideMark/>
          </w:tcPr>
          <w:p w:rsidR="005C0768" w:rsidRPr="005C0768" w:rsidRDefault="005C0768" w:rsidP="005C0768">
            <w:pPr>
              <w:autoSpaceDE w:val="0"/>
              <w:autoSpaceDN w:val="0"/>
              <w:adjustRightInd w:val="0"/>
              <w:jc w:val="center"/>
              <w:rPr>
                <w:color w:val="000000"/>
              </w:rPr>
            </w:pPr>
            <w:r w:rsidRPr="005C0768">
              <w:rPr>
                <w:color w:val="000000"/>
              </w:rPr>
              <w:t>10</w:t>
            </w:r>
          </w:p>
        </w:tc>
      </w:tr>
      <w:tr w:rsidR="005C0768" w:rsidRPr="005C0768" w:rsidTr="00412A30">
        <w:trPr>
          <w:trHeight w:val="255"/>
        </w:trPr>
        <w:tc>
          <w:tcPr>
            <w:tcW w:w="2280" w:type="dxa"/>
            <w:tcBorders>
              <w:top w:val="single" w:sz="6" w:space="0" w:color="000000"/>
              <w:left w:val="single" w:sz="12" w:space="0" w:color="auto"/>
              <w:bottom w:val="single" w:sz="12" w:space="0" w:color="000000"/>
              <w:right w:val="single" w:sz="12" w:space="0" w:color="auto"/>
            </w:tcBorders>
            <w:vAlign w:val="center"/>
            <w:hideMark/>
          </w:tcPr>
          <w:p w:rsidR="005C0768" w:rsidRPr="005C0768" w:rsidRDefault="005C0768" w:rsidP="005C0768">
            <w:pPr>
              <w:autoSpaceDE w:val="0"/>
              <w:autoSpaceDN w:val="0"/>
              <w:adjustRightInd w:val="0"/>
              <w:rPr>
                <w:color w:val="000000"/>
              </w:rPr>
            </w:pPr>
            <w:r w:rsidRPr="005C0768">
              <w:rPr>
                <w:color w:val="000000"/>
              </w:rPr>
              <w:t>H</w:t>
            </w:r>
            <w:r w:rsidRPr="00D95CA8">
              <w:rPr>
                <w:color w:val="000000"/>
                <w:sz w:val="22"/>
                <w:szCs w:val="22"/>
                <w:vertAlign w:val="subscript"/>
              </w:rPr>
              <w:t>2</w:t>
            </w:r>
            <w:r w:rsidRPr="005C0768">
              <w:rPr>
                <w:color w:val="000000"/>
              </w:rPr>
              <w:t xml:space="preserve">S </w:t>
            </w:r>
          </w:p>
        </w:tc>
        <w:tc>
          <w:tcPr>
            <w:tcW w:w="2640" w:type="dxa"/>
            <w:tcBorders>
              <w:top w:val="single" w:sz="6" w:space="0" w:color="000000"/>
              <w:left w:val="single" w:sz="12" w:space="0" w:color="auto"/>
              <w:bottom w:val="single" w:sz="12" w:space="0" w:color="000000"/>
              <w:right w:val="double" w:sz="12" w:space="0" w:color="auto"/>
            </w:tcBorders>
            <w:vAlign w:val="center"/>
            <w:hideMark/>
          </w:tcPr>
          <w:p w:rsidR="005C0768" w:rsidRPr="005C0768" w:rsidRDefault="005C0768" w:rsidP="005C0768">
            <w:pPr>
              <w:autoSpaceDE w:val="0"/>
              <w:autoSpaceDN w:val="0"/>
              <w:adjustRightInd w:val="0"/>
              <w:jc w:val="center"/>
              <w:rPr>
                <w:color w:val="000000"/>
              </w:rPr>
            </w:pPr>
            <w:r w:rsidRPr="005C0768">
              <w:rPr>
                <w:color w:val="000000"/>
              </w:rPr>
              <w:t>10</w:t>
            </w:r>
          </w:p>
        </w:tc>
        <w:tc>
          <w:tcPr>
            <w:tcW w:w="2160" w:type="dxa"/>
            <w:tcBorders>
              <w:top w:val="single" w:sz="6" w:space="0" w:color="000000"/>
              <w:left w:val="double" w:sz="12" w:space="0" w:color="auto"/>
              <w:bottom w:val="single" w:sz="12" w:space="0" w:color="000000"/>
              <w:right w:val="single" w:sz="12" w:space="0" w:color="auto"/>
            </w:tcBorders>
            <w:vAlign w:val="center"/>
            <w:hideMark/>
          </w:tcPr>
          <w:p w:rsidR="005C0768" w:rsidRPr="005C0768" w:rsidRDefault="005C0768" w:rsidP="005C0768">
            <w:pPr>
              <w:autoSpaceDE w:val="0"/>
              <w:autoSpaceDN w:val="0"/>
              <w:adjustRightInd w:val="0"/>
              <w:rPr>
                <w:color w:val="000000"/>
              </w:rPr>
            </w:pPr>
            <w:r w:rsidRPr="005C0768">
              <w:rPr>
                <w:color w:val="000000"/>
              </w:rPr>
              <w:t>Hg</w:t>
            </w:r>
          </w:p>
        </w:tc>
        <w:tc>
          <w:tcPr>
            <w:tcW w:w="2280" w:type="dxa"/>
            <w:tcBorders>
              <w:top w:val="single" w:sz="6" w:space="0" w:color="000000"/>
              <w:left w:val="single" w:sz="12" w:space="0" w:color="auto"/>
              <w:bottom w:val="single" w:sz="12" w:space="0" w:color="000000"/>
              <w:right w:val="single" w:sz="12" w:space="0" w:color="auto"/>
            </w:tcBorders>
            <w:vAlign w:val="center"/>
            <w:hideMark/>
          </w:tcPr>
          <w:p w:rsidR="005C0768" w:rsidRPr="005C0768" w:rsidRDefault="005C0768" w:rsidP="005C0768">
            <w:pPr>
              <w:autoSpaceDE w:val="0"/>
              <w:autoSpaceDN w:val="0"/>
              <w:adjustRightInd w:val="0"/>
              <w:jc w:val="center"/>
              <w:rPr>
                <w:color w:val="000000"/>
              </w:rPr>
            </w:pPr>
            <w:r w:rsidRPr="005C0768">
              <w:rPr>
                <w:color w:val="000000"/>
              </w:rPr>
              <w:t xml:space="preserve">0.1 </w:t>
            </w:r>
          </w:p>
        </w:tc>
      </w:tr>
      <w:tr w:rsidR="005C0768" w:rsidRPr="005C0768" w:rsidTr="00412A30">
        <w:trPr>
          <w:trHeight w:val="311"/>
        </w:trPr>
        <w:tc>
          <w:tcPr>
            <w:tcW w:w="9360" w:type="dxa"/>
            <w:gridSpan w:val="4"/>
            <w:tcBorders>
              <w:top w:val="single" w:sz="12" w:space="0" w:color="000000"/>
              <w:left w:val="single" w:sz="12" w:space="0" w:color="000000"/>
              <w:bottom w:val="single" w:sz="12" w:space="0" w:color="000000"/>
              <w:right w:val="single" w:sz="12" w:space="0" w:color="000000"/>
            </w:tcBorders>
            <w:hideMark/>
          </w:tcPr>
          <w:p w:rsidR="005C0768" w:rsidRPr="005C0768" w:rsidRDefault="005C0768" w:rsidP="00511785">
            <w:pPr>
              <w:numPr>
                <w:ilvl w:val="0"/>
                <w:numId w:val="2"/>
              </w:numPr>
              <w:tabs>
                <w:tab w:val="clear" w:pos="1080"/>
                <w:tab w:val="num" w:pos="342"/>
              </w:tabs>
              <w:autoSpaceDE w:val="0"/>
              <w:autoSpaceDN w:val="0"/>
              <w:adjustRightInd w:val="0"/>
              <w:spacing w:before="20"/>
              <w:ind w:left="342" w:hanging="328"/>
              <w:rPr>
                <w:color w:val="000000"/>
                <w:sz w:val="16"/>
                <w:szCs w:val="16"/>
              </w:rPr>
            </w:pPr>
            <w:r w:rsidRPr="005C0768">
              <w:rPr>
                <w:color w:val="000000"/>
                <w:sz w:val="16"/>
                <w:szCs w:val="16"/>
              </w:rPr>
              <w:t>Excluding those defined exclusively for MWC and MSW landfills.</w:t>
            </w:r>
          </w:p>
          <w:p w:rsidR="005C0768" w:rsidRPr="005C0768" w:rsidRDefault="005C0768" w:rsidP="00511785">
            <w:pPr>
              <w:numPr>
                <w:ilvl w:val="0"/>
                <w:numId w:val="2"/>
              </w:numPr>
              <w:tabs>
                <w:tab w:val="clear" w:pos="1080"/>
                <w:tab w:val="num" w:pos="342"/>
              </w:tabs>
              <w:autoSpaceDE w:val="0"/>
              <w:autoSpaceDN w:val="0"/>
              <w:adjustRightInd w:val="0"/>
              <w:ind w:left="342" w:hanging="328"/>
              <w:rPr>
                <w:color w:val="000000"/>
                <w:sz w:val="16"/>
                <w:szCs w:val="16"/>
              </w:rPr>
            </w:pPr>
            <w:r w:rsidRPr="005C0768">
              <w:rPr>
                <w:color w:val="000000"/>
                <w:sz w:val="16"/>
                <w:szCs w:val="16"/>
              </w:rPr>
              <w:t>Ozone (O</w:t>
            </w:r>
            <w:r w:rsidR="00A90686" w:rsidRPr="00D95CA8">
              <w:rPr>
                <w:color w:val="000000"/>
                <w:sz w:val="16"/>
                <w:szCs w:val="16"/>
                <w:vertAlign w:val="subscript"/>
              </w:rPr>
              <w:t>3</w:t>
            </w:r>
            <w:r w:rsidRPr="005C0768">
              <w:rPr>
                <w:color w:val="000000"/>
                <w:sz w:val="16"/>
                <w:szCs w:val="16"/>
              </w:rPr>
              <w:t>) is regulated by its precursors (VOC and NO</w:t>
            </w:r>
            <w:r w:rsidR="00A90686" w:rsidRPr="00A90686">
              <w:rPr>
                <w:color w:val="000000"/>
                <w:sz w:val="16"/>
                <w:szCs w:val="16"/>
                <w:vertAlign w:val="subscript"/>
              </w:rPr>
              <w:t>X</w:t>
            </w:r>
            <w:r w:rsidRPr="005C0768">
              <w:rPr>
                <w:color w:val="000000"/>
                <w:sz w:val="16"/>
                <w:szCs w:val="16"/>
              </w:rPr>
              <w:t>).</w:t>
            </w:r>
          </w:p>
          <w:p w:rsidR="005C0768" w:rsidRPr="005C0768" w:rsidRDefault="005C0768" w:rsidP="00511785">
            <w:pPr>
              <w:numPr>
                <w:ilvl w:val="0"/>
                <w:numId w:val="2"/>
              </w:numPr>
              <w:tabs>
                <w:tab w:val="clear" w:pos="1080"/>
                <w:tab w:val="num" w:pos="342"/>
              </w:tabs>
              <w:autoSpaceDE w:val="0"/>
              <w:autoSpaceDN w:val="0"/>
              <w:adjustRightInd w:val="0"/>
              <w:spacing w:after="20"/>
              <w:ind w:left="342" w:hanging="328"/>
              <w:rPr>
                <w:color w:val="000000"/>
                <w:sz w:val="16"/>
                <w:szCs w:val="16"/>
              </w:rPr>
            </w:pPr>
            <w:r w:rsidRPr="005C0768">
              <w:rPr>
                <w:color w:val="000000"/>
                <w:sz w:val="16"/>
                <w:szCs w:val="16"/>
              </w:rPr>
              <w:t>There is a federal SER of 75,000 TPY for Greenhouse Gases (GHG) as CO</w:t>
            </w:r>
            <w:r w:rsidR="00A90686" w:rsidRPr="00D95CA8">
              <w:rPr>
                <w:color w:val="000000"/>
                <w:sz w:val="16"/>
                <w:szCs w:val="16"/>
                <w:vertAlign w:val="subscript"/>
              </w:rPr>
              <w:t>2</w:t>
            </w:r>
            <w:r w:rsidRPr="005C0768">
              <w:rPr>
                <w:color w:val="000000"/>
                <w:sz w:val="16"/>
                <w:szCs w:val="16"/>
              </w:rPr>
              <w:t xml:space="preserve"> equivalent (CO</w:t>
            </w:r>
            <w:r w:rsidR="00A90686" w:rsidRPr="00A90686">
              <w:rPr>
                <w:color w:val="000000"/>
                <w:sz w:val="16"/>
                <w:szCs w:val="16"/>
                <w:vertAlign w:val="subscript"/>
              </w:rPr>
              <w:t>2</w:t>
            </w:r>
            <w:r w:rsidRPr="005C0768">
              <w:rPr>
                <w:color w:val="000000"/>
                <w:sz w:val="14"/>
                <w:szCs w:val="16"/>
              </w:rPr>
              <w:t>e</w:t>
            </w:r>
            <w:r w:rsidRPr="005C0768">
              <w:rPr>
                <w:color w:val="000000"/>
                <w:sz w:val="16"/>
                <w:szCs w:val="16"/>
              </w:rPr>
              <w:t>) that has not been incorporated into Department rules.  .</w:t>
            </w:r>
          </w:p>
        </w:tc>
      </w:tr>
    </w:tbl>
    <w:p w:rsidR="00193F10" w:rsidRPr="002C66F8" w:rsidRDefault="00193F10" w:rsidP="00C90E60">
      <w:pPr>
        <w:pStyle w:val="ListParagraph"/>
        <w:numPr>
          <w:ilvl w:val="0"/>
          <w:numId w:val="51"/>
        </w:numPr>
        <w:spacing w:before="120" w:after="120"/>
        <w:ind w:hanging="720"/>
        <w:contextualSpacing w:val="0"/>
        <w:rPr>
          <w:rFonts w:ascii="Times New Roman" w:hAnsi="Times New Roman" w:cs="Times New Roman"/>
          <w:b/>
          <w:caps/>
        </w:rPr>
      </w:pPr>
      <w:r w:rsidRPr="002C66F8">
        <w:rPr>
          <w:rFonts w:ascii="Times New Roman" w:hAnsi="Times New Roman" w:cs="Times New Roman"/>
          <w:b/>
        </w:rPr>
        <w:lastRenderedPageBreak/>
        <w:t xml:space="preserve">PSD Applicability for </w:t>
      </w:r>
      <w:r w:rsidR="002C66F8" w:rsidRPr="002C66F8">
        <w:rPr>
          <w:rFonts w:ascii="Times New Roman" w:hAnsi="Times New Roman" w:cs="Times New Roman"/>
          <w:b/>
        </w:rPr>
        <w:t xml:space="preserve">the </w:t>
      </w:r>
      <w:r w:rsidRPr="002C66F8">
        <w:rPr>
          <w:rFonts w:ascii="Times New Roman" w:hAnsi="Times New Roman" w:cs="Times New Roman"/>
          <w:b/>
        </w:rPr>
        <w:t>Project</w:t>
      </w:r>
      <w:r w:rsidR="008B1DC5" w:rsidRPr="002C66F8">
        <w:rPr>
          <w:rFonts w:ascii="Times New Roman" w:hAnsi="Times New Roman" w:cs="Times New Roman"/>
          <w:b/>
        </w:rPr>
        <w:t>s</w:t>
      </w:r>
    </w:p>
    <w:p w:rsidR="008B1DC5" w:rsidRDefault="008B1DC5" w:rsidP="003C0403">
      <w:pPr>
        <w:spacing w:after="120"/>
        <w:rPr>
          <w:sz w:val="22"/>
          <w:szCs w:val="22"/>
        </w:rPr>
      </w:pPr>
      <w:r>
        <w:rPr>
          <w:sz w:val="22"/>
          <w:szCs w:val="22"/>
        </w:rPr>
        <w:t>Both</w:t>
      </w:r>
      <w:r w:rsidRPr="003C0403">
        <w:rPr>
          <w:sz w:val="22"/>
          <w:szCs w:val="22"/>
        </w:rPr>
        <w:t xml:space="preserve"> project</w:t>
      </w:r>
      <w:r>
        <w:rPr>
          <w:sz w:val="22"/>
          <w:szCs w:val="22"/>
        </w:rPr>
        <w:t>s</w:t>
      </w:r>
      <w:r w:rsidRPr="003C0403">
        <w:rPr>
          <w:sz w:val="22"/>
          <w:szCs w:val="22"/>
        </w:rPr>
        <w:t xml:space="preserve"> will be located in Polk County, which is in an area that is currently in attainment with (or designated as unclassifiable for the state and federal AAQS</w:t>
      </w:r>
    </w:p>
    <w:p w:rsidR="008B1DC5" w:rsidRPr="002C66F8" w:rsidRDefault="008B1DC5" w:rsidP="00511785">
      <w:pPr>
        <w:pStyle w:val="ListParagraph"/>
        <w:numPr>
          <w:ilvl w:val="0"/>
          <w:numId w:val="12"/>
        </w:numPr>
        <w:spacing w:before="120" w:after="120"/>
        <w:ind w:hanging="720"/>
        <w:contextualSpacing w:val="0"/>
        <w:rPr>
          <w:rFonts w:ascii="Times New Roman" w:hAnsi="Times New Roman" w:cs="Times New Roman"/>
          <w:b/>
          <w:caps/>
        </w:rPr>
      </w:pPr>
      <w:r w:rsidRPr="002C66F8">
        <w:rPr>
          <w:rFonts w:ascii="Times New Roman" w:hAnsi="Times New Roman" w:cs="Times New Roman"/>
          <w:u w:val="single"/>
        </w:rPr>
        <w:t>Project 1</w:t>
      </w:r>
    </w:p>
    <w:p w:rsidR="003C0403" w:rsidRDefault="00F0411A" w:rsidP="003C0403">
      <w:pPr>
        <w:spacing w:after="120"/>
        <w:rPr>
          <w:sz w:val="22"/>
          <w:szCs w:val="22"/>
        </w:rPr>
      </w:pPr>
      <w:r>
        <w:rPr>
          <w:sz w:val="22"/>
          <w:szCs w:val="22"/>
        </w:rPr>
        <w:t>According to the applicant, no emission increases will result from the proposed project.</w:t>
      </w:r>
      <w:r w:rsidR="00852555" w:rsidRPr="003C0403">
        <w:rPr>
          <w:sz w:val="22"/>
          <w:szCs w:val="22"/>
        </w:rPr>
        <w:t xml:space="preserve"> </w:t>
      </w:r>
      <w:r>
        <w:rPr>
          <w:sz w:val="22"/>
          <w:szCs w:val="22"/>
        </w:rPr>
        <w:t xml:space="preserve"> T</w:t>
      </w:r>
      <w:r w:rsidR="003C0403" w:rsidRPr="003C0403">
        <w:rPr>
          <w:sz w:val="22"/>
          <w:szCs w:val="22"/>
        </w:rPr>
        <w:t>herefore, the project is not subject to PSD preconstruction review.</w:t>
      </w:r>
    </w:p>
    <w:p w:rsidR="008B1DC5" w:rsidRPr="002C66F8" w:rsidRDefault="008B1DC5" w:rsidP="00511785">
      <w:pPr>
        <w:pStyle w:val="ListParagraph"/>
        <w:numPr>
          <w:ilvl w:val="0"/>
          <w:numId w:val="13"/>
        </w:numPr>
        <w:spacing w:before="120" w:after="120"/>
        <w:ind w:hanging="720"/>
        <w:contextualSpacing w:val="0"/>
        <w:rPr>
          <w:rFonts w:ascii="Times New Roman" w:hAnsi="Times New Roman" w:cs="Times New Roman"/>
          <w:b/>
          <w:caps/>
        </w:rPr>
      </w:pPr>
      <w:r w:rsidRPr="002C66F8">
        <w:rPr>
          <w:rFonts w:ascii="Times New Roman" w:hAnsi="Times New Roman" w:cs="Times New Roman"/>
          <w:u w:val="single"/>
        </w:rPr>
        <w:t>Project 2</w:t>
      </w:r>
    </w:p>
    <w:p w:rsidR="008B1DC5" w:rsidRPr="008B1DC5" w:rsidRDefault="008B1DC5" w:rsidP="008B1DC5">
      <w:pPr>
        <w:spacing w:after="120"/>
        <w:rPr>
          <w:sz w:val="22"/>
          <w:szCs w:val="22"/>
        </w:rPr>
      </w:pPr>
      <w:r w:rsidRPr="008B1DC5">
        <w:rPr>
          <w:sz w:val="22"/>
          <w:szCs w:val="22"/>
        </w:rPr>
        <w:t>The applicant submitted a PSD applicability analysis which is presented in Table 2 below.</w:t>
      </w:r>
    </w:p>
    <w:p w:rsidR="008B1DC5" w:rsidRPr="008B1DC5" w:rsidRDefault="008B1DC5" w:rsidP="008B1DC5">
      <w:pPr>
        <w:spacing w:before="120" w:after="120"/>
        <w:rPr>
          <w:rFonts w:ascii="Times New Roman Bold" w:hAnsi="Times New Roman Bold"/>
          <w:b/>
          <w:sz w:val="22"/>
          <w:szCs w:val="22"/>
        </w:rPr>
      </w:pPr>
      <w:r w:rsidRPr="008B1DC5">
        <w:rPr>
          <w:rFonts w:ascii="Times New Roman Bold" w:hAnsi="Times New Roman Bold"/>
          <w:b/>
          <w:sz w:val="22"/>
        </w:rPr>
        <w:t xml:space="preserve">Table </w:t>
      </w:r>
      <w:r w:rsidR="00555EB5" w:rsidRPr="008B1DC5">
        <w:rPr>
          <w:rFonts w:ascii="Times New Roman Bold" w:hAnsi="Times New Roman Bold"/>
          <w:b/>
          <w:sz w:val="22"/>
        </w:rPr>
        <w:fldChar w:fldCharType="begin"/>
      </w:r>
      <w:r w:rsidRPr="008B1DC5">
        <w:rPr>
          <w:rFonts w:ascii="Times New Roman Bold" w:hAnsi="Times New Roman Bold"/>
          <w:b/>
          <w:sz w:val="22"/>
        </w:rPr>
        <w:instrText xml:space="preserve"> SEQ Table \* ARABIC </w:instrText>
      </w:r>
      <w:r w:rsidR="00555EB5" w:rsidRPr="008B1DC5">
        <w:rPr>
          <w:rFonts w:ascii="Times New Roman Bold" w:hAnsi="Times New Roman Bold"/>
          <w:b/>
          <w:sz w:val="22"/>
        </w:rPr>
        <w:fldChar w:fldCharType="separate"/>
      </w:r>
      <w:r w:rsidRPr="008B1DC5">
        <w:rPr>
          <w:rFonts w:ascii="Times New Roman Bold" w:hAnsi="Times New Roman Bold"/>
          <w:b/>
          <w:noProof/>
          <w:sz w:val="22"/>
        </w:rPr>
        <w:t>2</w:t>
      </w:r>
      <w:r w:rsidR="00555EB5" w:rsidRPr="008B1DC5">
        <w:rPr>
          <w:rFonts w:ascii="Times New Roman Bold" w:hAnsi="Times New Roman Bold"/>
          <w:b/>
          <w:sz w:val="22"/>
        </w:rPr>
        <w:fldChar w:fldCharType="end"/>
      </w:r>
      <w:r w:rsidRPr="008B1DC5">
        <w:rPr>
          <w:rFonts w:ascii="Times New Roman Bold" w:hAnsi="Times New Roman Bold"/>
          <w:b/>
          <w:sz w:val="22"/>
          <w:szCs w:val="22"/>
        </w:rPr>
        <w:t xml:space="preserve"> – Applicant’s PSD Analysis, Emissions in TPY.</w:t>
      </w:r>
    </w:p>
    <w:tbl>
      <w:tblPr>
        <w:tblStyle w:val="TableGrid"/>
        <w:tblW w:w="9878" w:type="dxa"/>
        <w:tblInd w:w="108" w:type="dxa"/>
        <w:tblLook w:val="04A0"/>
      </w:tblPr>
      <w:tblGrid>
        <w:gridCol w:w="1620"/>
        <w:gridCol w:w="2070"/>
        <w:gridCol w:w="1890"/>
        <w:gridCol w:w="2056"/>
        <w:gridCol w:w="2242"/>
      </w:tblGrid>
      <w:tr w:rsidR="008B1DC5" w:rsidRPr="008B1DC5" w:rsidTr="00536EFF">
        <w:trPr>
          <w:trHeight w:val="503"/>
          <w:tblHeader/>
        </w:trPr>
        <w:tc>
          <w:tcPr>
            <w:tcW w:w="1620" w:type="dxa"/>
            <w:tcBorders>
              <w:top w:val="single" w:sz="12" w:space="0" w:color="auto"/>
              <w:left w:val="single" w:sz="12" w:space="0" w:color="auto"/>
              <w:bottom w:val="single" w:sz="12" w:space="0" w:color="auto"/>
              <w:right w:val="single" w:sz="12" w:space="0" w:color="auto"/>
            </w:tcBorders>
            <w:noWrap/>
            <w:vAlign w:val="center"/>
            <w:hideMark/>
          </w:tcPr>
          <w:p w:rsidR="008B1DC5" w:rsidRPr="00536EFF" w:rsidRDefault="008B1DC5" w:rsidP="008B1DC5">
            <w:pPr>
              <w:spacing w:before="20" w:after="20"/>
              <w:jc w:val="center"/>
              <w:rPr>
                <w:color w:val="000000"/>
              </w:rPr>
            </w:pPr>
            <w:r w:rsidRPr="00536EFF">
              <w:rPr>
                <w:b/>
                <w:bCs/>
                <w:color w:val="000000"/>
              </w:rPr>
              <w:t>Parameter</w:t>
            </w:r>
          </w:p>
        </w:tc>
        <w:tc>
          <w:tcPr>
            <w:tcW w:w="2070" w:type="dxa"/>
            <w:tcBorders>
              <w:top w:val="single" w:sz="12" w:space="0" w:color="auto"/>
              <w:left w:val="single" w:sz="12" w:space="0" w:color="auto"/>
              <w:bottom w:val="single" w:sz="12" w:space="0" w:color="auto"/>
              <w:right w:val="single" w:sz="12" w:space="0" w:color="auto"/>
            </w:tcBorders>
            <w:vAlign w:val="center"/>
            <w:hideMark/>
          </w:tcPr>
          <w:p w:rsidR="008B1DC5" w:rsidRPr="00536EFF" w:rsidRDefault="008B1DC5" w:rsidP="008B1DC5">
            <w:pPr>
              <w:spacing w:before="20" w:after="20"/>
              <w:jc w:val="center"/>
              <w:rPr>
                <w:color w:val="000000"/>
              </w:rPr>
            </w:pPr>
            <w:r w:rsidRPr="00536EFF">
              <w:rPr>
                <w:b/>
                <w:bCs/>
                <w:color w:val="000000"/>
              </w:rPr>
              <w:t>Baseline Emissions</w:t>
            </w:r>
          </w:p>
        </w:tc>
        <w:tc>
          <w:tcPr>
            <w:tcW w:w="1890" w:type="dxa"/>
            <w:tcBorders>
              <w:top w:val="single" w:sz="12" w:space="0" w:color="auto"/>
              <w:left w:val="single" w:sz="12" w:space="0" w:color="auto"/>
              <w:bottom w:val="single" w:sz="12" w:space="0" w:color="auto"/>
              <w:right w:val="single" w:sz="12" w:space="0" w:color="auto"/>
            </w:tcBorders>
            <w:vAlign w:val="center"/>
            <w:hideMark/>
          </w:tcPr>
          <w:p w:rsidR="008B1DC5" w:rsidRPr="00536EFF" w:rsidRDefault="008B1DC5" w:rsidP="008B1DC5">
            <w:pPr>
              <w:spacing w:before="20" w:after="20"/>
              <w:jc w:val="center"/>
              <w:rPr>
                <w:color w:val="000000"/>
              </w:rPr>
            </w:pPr>
            <w:r w:rsidRPr="00536EFF">
              <w:rPr>
                <w:b/>
                <w:bCs/>
                <w:color w:val="000000"/>
              </w:rPr>
              <w:t>Total Future Actual Emissions</w:t>
            </w:r>
          </w:p>
        </w:tc>
        <w:tc>
          <w:tcPr>
            <w:tcW w:w="2056" w:type="dxa"/>
            <w:tcBorders>
              <w:top w:val="single" w:sz="12" w:space="0" w:color="auto"/>
              <w:left w:val="single" w:sz="12" w:space="0" w:color="auto"/>
              <w:bottom w:val="single" w:sz="12" w:space="0" w:color="auto"/>
              <w:right w:val="single" w:sz="12" w:space="0" w:color="auto"/>
            </w:tcBorders>
            <w:vAlign w:val="center"/>
            <w:hideMark/>
          </w:tcPr>
          <w:p w:rsidR="008B1DC5" w:rsidRPr="00536EFF" w:rsidRDefault="008B1DC5" w:rsidP="008B1DC5">
            <w:pPr>
              <w:spacing w:before="20" w:after="20"/>
              <w:jc w:val="center"/>
              <w:rPr>
                <w:color w:val="000000"/>
              </w:rPr>
            </w:pPr>
            <w:r w:rsidRPr="00536EFF">
              <w:rPr>
                <w:b/>
                <w:bCs/>
                <w:color w:val="000000"/>
              </w:rPr>
              <w:t>Net Change</w:t>
            </w:r>
          </w:p>
        </w:tc>
        <w:tc>
          <w:tcPr>
            <w:tcW w:w="2242" w:type="dxa"/>
            <w:tcBorders>
              <w:top w:val="single" w:sz="12" w:space="0" w:color="auto"/>
              <w:left w:val="single" w:sz="12" w:space="0" w:color="auto"/>
              <w:bottom w:val="single" w:sz="12" w:space="0" w:color="auto"/>
              <w:right w:val="single" w:sz="12" w:space="0" w:color="auto"/>
            </w:tcBorders>
            <w:vAlign w:val="center"/>
          </w:tcPr>
          <w:p w:rsidR="008B1DC5" w:rsidRPr="00536EFF" w:rsidRDefault="008B1DC5" w:rsidP="008B1DC5">
            <w:pPr>
              <w:spacing w:before="20" w:after="20"/>
              <w:jc w:val="center"/>
              <w:rPr>
                <w:b/>
                <w:bCs/>
                <w:color w:val="000000"/>
              </w:rPr>
            </w:pPr>
            <w:r w:rsidRPr="00536EFF">
              <w:rPr>
                <w:b/>
                <w:bCs/>
                <w:color w:val="000000"/>
              </w:rPr>
              <w:t>PSD Threshold</w:t>
            </w:r>
          </w:p>
        </w:tc>
      </w:tr>
      <w:tr w:rsidR="008B1DC5" w:rsidRPr="008B1DC5" w:rsidTr="008B1DC5">
        <w:trPr>
          <w:trHeight w:val="300"/>
        </w:trPr>
        <w:tc>
          <w:tcPr>
            <w:tcW w:w="1620" w:type="dxa"/>
            <w:tcBorders>
              <w:top w:val="single" w:sz="12" w:space="0" w:color="auto"/>
              <w:left w:val="single" w:sz="12" w:space="0" w:color="auto"/>
              <w:right w:val="single" w:sz="12" w:space="0" w:color="auto"/>
            </w:tcBorders>
            <w:noWrap/>
            <w:vAlign w:val="center"/>
            <w:hideMark/>
          </w:tcPr>
          <w:p w:rsidR="008B1DC5" w:rsidRPr="00536EFF" w:rsidRDefault="008B1DC5" w:rsidP="008B1DC5">
            <w:pPr>
              <w:spacing w:before="20" w:after="20"/>
              <w:jc w:val="center"/>
              <w:rPr>
                <w:b/>
                <w:bCs/>
                <w:color w:val="000000"/>
              </w:rPr>
            </w:pPr>
            <w:r w:rsidRPr="00536EFF">
              <w:rPr>
                <w:b/>
                <w:bCs/>
                <w:color w:val="000000"/>
              </w:rPr>
              <w:t>SO</w:t>
            </w:r>
            <w:r w:rsidRPr="00536EFF">
              <w:rPr>
                <w:b/>
                <w:bCs/>
                <w:color w:val="000000"/>
                <w:vertAlign w:val="subscript"/>
              </w:rPr>
              <w:t>2</w:t>
            </w:r>
          </w:p>
        </w:tc>
        <w:tc>
          <w:tcPr>
            <w:tcW w:w="2070" w:type="dxa"/>
            <w:tcBorders>
              <w:top w:val="single" w:sz="12" w:space="0" w:color="auto"/>
              <w:left w:val="single" w:sz="12" w:space="0" w:color="auto"/>
              <w:right w:val="single" w:sz="12" w:space="0" w:color="auto"/>
            </w:tcBorders>
            <w:noWrap/>
          </w:tcPr>
          <w:p w:rsidR="008B1DC5" w:rsidRPr="00536EFF" w:rsidRDefault="008B1DC5" w:rsidP="008B1DC5">
            <w:pPr>
              <w:spacing w:before="20" w:after="20"/>
              <w:jc w:val="center"/>
              <w:rPr>
                <w:rFonts w:eastAsia="Calibri"/>
              </w:rPr>
            </w:pPr>
            <w:r w:rsidRPr="00536EFF">
              <w:rPr>
                <w:rFonts w:eastAsia="Calibri"/>
              </w:rPr>
              <w:t>1,160.3</w:t>
            </w:r>
          </w:p>
        </w:tc>
        <w:tc>
          <w:tcPr>
            <w:tcW w:w="1890" w:type="dxa"/>
            <w:tcBorders>
              <w:top w:val="single" w:sz="12" w:space="0" w:color="auto"/>
              <w:left w:val="single" w:sz="12" w:space="0" w:color="auto"/>
              <w:right w:val="single" w:sz="12" w:space="0" w:color="auto"/>
            </w:tcBorders>
            <w:noWrap/>
          </w:tcPr>
          <w:p w:rsidR="008B1DC5" w:rsidRPr="00536EFF" w:rsidRDefault="008B1DC5" w:rsidP="008B1DC5">
            <w:pPr>
              <w:spacing w:before="20" w:after="20"/>
              <w:jc w:val="center"/>
              <w:rPr>
                <w:rFonts w:eastAsia="Calibri"/>
              </w:rPr>
            </w:pPr>
            <w:bookmarkStart w:id="0" w:name="_Toc324618732"/>
            <w:r w:rsidRPr="00536EFF">
              <w:rPr>
                <w:rFonts w:eastAsia="Calibri"/>
              </w:rPr>
              <w:t>1,150</w:t>
            </w:r>
            <w:bookmarkEnd w:id="0"/>
            <w:r w:rsidRPr="00536EFF">
              <w:rPr>
                <w:rFonts w:eastAsia="Calibri"/>
              </w:rPr>
              <w:t>.0</w:t>
            </w:r>
          </w:p>
        </w:tc>
        <w:tc>
          <w:tcPr>
            <w:tcW w:w="2056" w:type="dxa"/>
            <w:tcBorders>
              <w:top w:val="single" w:sz="12" w:space="0" w:color="auto"/>
              <w:left w:val="single" w:sz="12" w:space="0" w:color="auto"/>
              <w:right w:val="single" w:sz="12" w:space="0" w:color="auto"/>
            </w:tcBorders>
            <w:noWrap/>
          </w:tcPr>
          <w:p w:rsidR="008B1DC5" w:rsidRPr="00536EFF" w:rsidRDefault="008B1DC5" w:rsidP="008B1DC5">
            <w:pPr>
              <w:spacing w:before="20" w:after="20"/>
              <w:jc w:val="center"/>
              <w:rPr>
                <w:color w:val="000000"/>
              </w:rPr>
            </w:pPr>
            <w:r w:rsidRPr="00536EFF">
              <w:rPr>
                <w:color w:val="000000"/>
              </w:rPr>
              <w:t>-10.3</w:t>
            </w:r>
          </w:p>
        </w:tc>
        <w:tc>
          <w:tcPr>
            <w:tcW w:w="2242" w:type="dxa"/>
            <w:tcBorders>
              <w:top w:val="single" w:sz="12" w:space="0" w:color="auto"/>
              <w:left w:val="single" w:sz="12" w:space="0" w:color="auto"/>
              <w:right w:val="single" w:sz="12" w:space="0" w:color="auto"/>
            </w:tcBorders>
          </w:tcPr>
          <w:p w:rsidR="008B1DC5" w:rsidRPr="00536EFF" w:rsidRDefault="008B1DC5" w:rsidP="008B1DC5">
            <w:pPr>
              <w:spacing w:before="20" w:after="20"/>
              <w:jc w:val="center"/>
              <w:rPr>
                <w:color w:val="000000"/>
              </w:rPr>
            </w:pPr>
            <w:r w:rsidRPr="00536EFF">
              <w:rPr>
                <w:color w:val="000000"/>
              </w:rPr>
              <w:t>40</w:t>
            </w:r>
          </w:p>
        </w:tc>
      </w:tr>
      <w:tr w:rsidR="008B1DC5" w:rsidRPr="008B1DC5" w:rsidTr="008B1DC5">
        <w:trPr>
          <w:trHeight w:val="300"/>
        </w:trPr>
        <w:tc>
          <w:tcPr>
            <w:tcW w:w="1620" w:type="dxa"/>
            <w:tcBorders>
              <w:left w:val="single" w:sz="12" w:space="0" w:color="auto"/>
              <w:right w:val="single" w:sz="12" w:space="0" w:color="auto"/>
            </w:tcBorders>
            <w:noWrap/>
            <w:vAlign w:val="center"/>
            <w:hideMark/>
          </w:tcPr>
          <w:p w:rsidR="008B1DC5" w:rsidRPr="00536EFF" w:rsidRDefault="008B1DC5" w:rsidP="008B1DC5">
            <w:pPr>
              <w:spacing w:before="20" w:after="20"/>
              <w:jc w:val="center"/>
              <w:rPr>
                <w:b/>
                <w:bCs/>
                <w:color w:val="000000"/>
              </w:rPr>
            </w:pPr>
            <w:r w:rsidRPr="00536EFF">
              <w:rPr>
                <w:b/>
                <w:bCs/>
                <w:color w:val="000000"/>
              </w:rPr>
              <w:t>NO</w:t>
            </w:r>
            <w:r w:rsidRPr="00536EFF">
              <w:rPr>
                <w:b/>
                <w:bCs/>
                <w:color w:val="000000"/>
                <w:vertAlign w:val="subscript"/>
              </w:rPr>
              <w:t>X</w:t>
            </w:r>
          </w:p>
        </w:tc>
        <w:tc>
          <w:tcPr>
            <w:tcW w:w="2070" w:type="dxa"/>
            <w:tcBorders>
              <w:left w:val="single" w:sz="12" w:space="0" w:color="auto"/>
              <w:right w:val="single" w:sz="12" w:space="0" w:color="auto"/>
            </w:tcBorders>
            <w:noWrap/>
          </w:tcPr>
          <w:p w:rsidR="008B1DC5" w:rsidRPr="00536EFF" w:rsidRDefault="008B1DC5" w:rsidP="008B1DC5">
            <w:pPr>
              <w:spacing w:before="20" w:after="20"/>
              <w:jc w:val="center"/>
              <w:rPr>
                <w:rFonts w:eastAsia="Calibri"/>
              </w:rPr>
            </w:pPr>
            <w:r w:rsidRPr="00536EFF">
              <w:rPr>
                <w:rFonts w:eastAsia="Calibri"/>
              </w:rPr>
              <w:t>391.7</w:t>
            </w:r>
          </w:p>
        </w:tc>
        <w:tc>
          <w:tcPr>
            <w:tcW w:w="1890" w:type="dxa"/>
            <w:tcBorders>
              <w:left w:val="single" w:sz="12" w:space="0" w:color="auto"/>
              <w:right w:val="single" w:sz="12" w:space="0" w:color="auto"/>
            </w:tcBorders>
            <w:noWrap/>
          </w:tcPr>
          <w:p w:rsidR="008B1DC5" w:rsidRPr="00536EFF" w:rsidRDefault="008B1DC5" w:rsidP="008B1DC5">
            <w:pPr>
              <w:spacing w:before="20" w:after="20"/>
              <w:jc w:val="center"/>
              <w:rPr>
                <w:rFonts w:eastAsia="Calibri"/>
              </w:rPr>
            </w:pPr>
            <w:bookmarkStart w:id="1" w:name="_Toc324618733"/>
            <w:r w:rsidRPr="00536EFF">
              <w:rPr>
                <w:rFonts w:eastAsia="Calibri"/>
              </w:rPr>
              <w:t>42</w:t>
            </w:r>
            <w:bookmarkEnd w:id="1"/>
            <w:r w:rsidRPr="00536EFF">
              <w:rPr>
                <w:rFonts w:eastAsia="Calibri"/>
              </w:rPr>
              <w:t>2.6</w:t>
            </w:r>
          </w:p>
        </w:tc>
        <w:tc>
          <w:tcPr>
            <w:tcW w:w="2056" w:type="dxa"/>
            <w:tcBorders>
              <w:left w:val="single" w:sz="12" w:space="0" w:color="auto"/>
              <w:right w:val="single" w:sz="12" w:space="0" w:color="auto"/>
            </w:tcBorders>
            <w:noWrap/>
          </w:tcPr>
          <w:p w:rsidR="008B1DC5" w:rsidRPr="00536EFF" w:rsidRDefault="008B1DC5" w:rsidP="008B1DC5">
            <w:pPr>
              <w:spacing w:before="20" w:after="20"/>
              <w:jc w:val="center"/>
              <w:rPr>
                <w:b/>
                <w:color w:val="000000"/>
              </w:rPr>
            </w:pPr>
            <w:r w:rsidRPr="00536EFF">
              <w:rPr>
                <w:b/>
                <w:color w:val="000000"/>
              </w:rPr>
              <w:t>30.9</w:t>
            </w:r>
          </w:p>
        </w:tc>
        <w:tc>
          <w:tcPr>
            <w:tcW w:w="2242" w:type="dxa"/>
            <w:tcBorders>
              <w:left w:val="single" w:sz="12" w:space="0" w:color="auto"/>
              <w:right w:val="single" w:sz="12" w:space="0" w:color="auto"/>
            </w:tcBorders>
          </w:tcPr>
          <w:p w:rsidR="008B1DC5" w:rsidRPr="00536EFF" w:rsidRDefault="008B1DC5" w:rsidP="008B1DC5">
            <w:pPr>
              <w:spacing w:before="20" w:after="20"/>
              <w:jc w:val="center"/>
              <w:rPr>
                <w:color w:val="000000"/>
              </w:rPr>
            </w:pPr>
            <w:r w:rsidRPr="00536EFF">
              <w:rPr>
                <w:color w:val="000000"/>
              </w:rPr>
              <w:t>40</w:t>
            </w:r>
          </w:p>
        </w:tc>
      </w:tr>
      <w:tr w:rsidR="008B1DC5" w:rsidRPr="008B1DC5" w:rsidTr="008B1DC5">
        <w:trPr>
          <w:trHeight w:val="300"/>
        </w:trPr>
        <w:tc>
          <w:tcPr>
            <w:tcW w:w="1620" w:type="dxa"/>
            <w:tcBorders>
              <w:left w:val="single" w:sz="12" w:space="0" w:color="auto"/>
              <w:right w:val="single" w:sz="12" w:space="0" w:color="auto"/>
            </w:tcBorders>
            <w:noWrap/>
            <w:vAlign w:val="center"/>
            <w:hideMark/>
          </w:tcPr>
          <w:p w:rsidR="008B1DC5" w:rsidRPr="00536EFF" w:rsidRDefault="008B1DC5" w:rsidP="008B1DC5">
            <w:pPr>
              <w:spacing w:before="20" w:after="20"/>
              <w:jc w:val="center"/>
              <w:rPr>
                <w:b/>
                <w:bCs/>
                <w:color w:val="000000"/>
              </w:rPr>
            </w:pPr>
            <w:r w:rsidRPr="00536EFF">
              <w:rPr>
                <w:b/>
                <w:bCs/>
                <w:color w:val="000000"/>
              </w:rPr>
              <w:t>PM Total</w:t>
            </w:r>
          </w:p>
        </w:tc>
        <w:tc>
          <w:tcPr>
            <w:tcW w:w="2070" w:type="dxa"/>
            <w:tcBorders>
              <w:left w:val="single" w:sz="12" w:space="0" w:color="auto"/>
              <w:right w:val="single" w:sz="12" w:space="0" w:color="auto"/>
            </w:tcBorders>
            <w:noWrap/>
          </w:tcPr>
          <w:p w:rsidR="008B1DC5" w:rsidRPr="00536EFF" w:rsidRDefault="008B1DC5" w:rsidP="008B1DC5">
            <w:pPr>
              <w:spacing w:before="20" w:after="20"/>
              <w:jc w:val="center"/>
              <w:rPr>
                <w:rFonts w:eastAsia="Calibri"/>
              </w:rPr>
            </w:pPr>
            <w:r w:rsidRPr="00536EFF">
              <w:rPr>
                <w:rFonts w:eastAsia="Calibri"/>
              </w:rPr>
              <w:t>35.2</w:t>
            </w:r>
          </w:p>
        </w:tc>
        <w:tc>
          <w:tcPr>
            <w:tcW w:w="1890" w:type="dxa"/>
            <w:tcBorders>
              <w:left w:val="single" w:sz="12" w:space="0" w:color="auto"/>
              <w:right w:val="single" w:sz="12" w:space="0" w:color="auto"/>
            </w:tcBorders>
            <w:noWrap/>
          </w:tcPr>
          <w:p w:rsidR="008B1DC5" w:rsidRPr="00536EFF" w:rsidRDefault="008B1DC5" w:rsidP="008B1DC5">
            <w:pPr>
              <w:spacing w:before="20" w:after="20"/>
              <w:jc w:val="center"/>
              <w:rPr>
                <w:rFonts w:eastAsia="Calibri"/>
              </w:rPr>
            </w:pPr>
            <w:bookmarkStart w:id="2" w:name="_Toc324618734"/>
            <w:r w:rsidRPr="00536EFF">
              <w:rPr>
                <w:rFonts w:eastAsia="Calibri"/>
              </w:rPr>
              <w:t>39</w:t>
            </w:r>
            <w:bookmarkEnd w:id="2"/>
          </w:p>
        </w:tc>
        <w:tc>
          <w:tcPr>
            <w:tcW w:w="2056" w:type="dxa"/>
            <w:tcBorders>
              <w:left w:val="single" w:sz="12" w:space="0" w:color="auto"/>
              <w:right w:val="single" w:sz="12" w:space="0" w:color="auto"/>
            </w:tcBorders>
            <w:noWrap/>
          </w:tcPr>
          <w:p w:rsidR="008B1DC5" w:rsidRPr="00536EFF" w:rsidRDefault="008B1DC5" w:rsidP="008B1DC5">
            <w:pPr>
              <w:spacing w:before="20" w:after="20"/>
              <w:jc w:val="center"/>
              <w:rPr>
                <w:color w:val="000000"/>
              </w:rPr>
            </w:pPr>
            <w:r w:rsidRPr="00536EFF">
              <w:rPr>
                <w:color w:val="000000"/>
              </w:rPr>
              <w:t>3.8</w:t>
            </w:r>
          </w:p>
        </w:tc>
        <w:tc>
          <w:tcPr>
            <w:tcW w:w="2242" w:type="dxa"/>
            <w:tcBorders>
              <w:left w:val="single" w:sz="12" w:space="0" w:color="auto"/>
              <w:right w:val="single" w:sz="12" w:space="0" w:color="auto"/>
            </w:tcBorders>
          </w:tcPr>
          <w:p w:rsidR="008B1DC5" w:rsidRPr="00536EFF" w:rsidRDefault="008B1DC5" w:rsidP="008B1DC5">
            <w:pPr>
              <w:spacing w:before="20" w:after="20"/>
              <w:jc w:val="center"/>
              <w:rPr>
                <w:color w:val="000000"/>
              </w:rPr>
            </w:pPr>
            <w:r w:rsidRPr="00536EFF">
              <w:rPr>
                <w:color w:val="000000"/>
              </w:rPr>
              <w:t>25</w:t>
            </w:r>
          </w:p>
        </w:tc>
      </w:tr>
      <w:tr w:rsidR="008B1DC5" w:rsidRPr="008B1DC5" w:rsidTr="008B1DC5">
        <w:trPr>
          <w:trHeight w:val="300"/>
        </w:trPr>
        <w:tc>
          <w:tcPr>
            <w:tcW w:w="1620" w:type="dxa"/>
            <w:tcBorders>
              <w:left w:val="single" w:sz="12" w:space="0" w:color="auto"/>
              <w:right w:val="single" w:sz="12" w:space="0" w:color="auto"/>
            </w:tcBorders>
            <w:noWrap/>
            <w:vAlign w:val="center"/>
            <w:hideMark/>
          </w:tcPr>
          <w:p w:rsidR="008B1DC5" w:rsidRPr="00536EFF" w:rsidRDefault="008B1DC5" w:rsidP="008B1DC5">
            <w:pPr>
              <w:tabs>
                <w:tab w:val="left" w:pos="1044"/>
              </w:tabs>
              <w:spacing w:before="20" w:after="20"/>
              <w:jc w:val="center"/>
              <w:rPr>
                <w:b/>
                <w:bCs/>
                <w:color w:val="000000"/>
              </w:rPr>
            </w:pPr>
            <w:r w:rsidRPr="00536EFF">
              <w:rPr>
                <w:b/>
                <w:bCs/>
                <w:color w:val="000000"/>
              </w:rPr>
              <w:t xml:space="preserve">PM (f) </w:t>
            </w:r>
            <w:r w:rsidRPr="00536EFF">
              <w:rPr>
                <w:b/>
                <w:bCs/>
                <w:color w:val="000000"/>
                <w:vertAlign w:val="superscript"/>
              </w:rPr>
              <w:t>1</w:t>
            </w:r>
          </w:p>
        </w:tc>
        <w:tc>
          <w:tcPr>
            <w:tcW w:w="2070" w:type="dxa"/>
            <w:tcBorders>
              <w:left w:val="single" w:sz="12" w:space="0" w:color="auto"/>
              <w:right w:val="single" w:sz="12" w:space="0" w:color="auto"/>
            </w:tcBorders>
            <w:noWrap/>
          </w:tcPr>
          <w:p w:rsidR="008B1DC5" w:rsidRPr="00536EFF" w:rsidRDefault="008B1DC5" w:rsidP="008B1DC5">
            <w:pPr>
              <w:spacing w:before="20" w:after="20"/>
              <w:jc w:val="center"/>
              <w:rPr>
                <w:rFonts w:eastAsia="Calibri"/>
              </w:rPr>
            </w:pPr>
            <w:r w:rsidRPr="00536EFF">
              <w:rPr>
                <w:rFonts w:eastAsia="Calibri"/>
              </w:rPr>
              <w:t>0.1</w:t>
            </w:r>
          </w:p>
        </w:tc>
        <w:tc>
          <w:tcPr>
            <w:tcW w:w="1890" w:type="dxa"/>
            <w:tcBorders>
              <w:left w:val="single" w:sz="12" w:space="0" w:color="auto"/>
              <w:right w:val="single" w:sz="12" w:space="0" w:color="auto"/>
            </w:tcBorders>
            <w:noWrap/>
          </w:tcPr>
          <w:p w:rsidR="008B1DC5" w:rsidRPr="00536EFF" w:rsidRDefault="008B1DC5" w:rsidP="008B1DC5">
            <w:pPr>
              <w:spacing w:before="20" w:after="20"/>
              <w:jc w:val="center"/>
              <w:rPr>
                <w:rFonts w:eastAsia="Calibri"/>
              </w:rPr>
            </w:pPr>
            <w:bookmarkStart w:id="3" w:name="_Toc324618735"/>
            <w:r w:rsidRPr="00536EFF">
              <w:rPr>
                <w:rFonts w:eastAsia="Calibri"/>
              </w:rPr>
              <w:t>1.5</w:t>
            </w:r>
            <w:bookmarkEnd w:id="3"/>
          </w:p>
        </w:tc>
        <w:tc>
          <w:tcPr>
            <w:tcW w:w="2056" w:type="dxa"/>
            <w:tcBorders>
              <w:left w:val="single" w:sz="12" w:space="0" w:color="auto"/>
              <w:right w:val="single" w:sz="12" w:space="0" w:color="auto"/>
            </w:tcBorders>
            <w:noWrap/>
          </w:tcPr>
          <w:p w:rsidR="008B1DC5" w:rsidRPr="00536EFF" w:rsidRDefault="008B1DC5" w:rsidP="008B1DC5">
            <w:pPr>
              <w:spacing w:before="20" w:after="20"/>
              <w:jc w:val="center"/>
              <w:rPr>
                <w:color w:val="000000"/>
              </w:rPr>
            </w:pPr>
            <w:r w:rsidRPr="00536EFF">
              <w:rPr>
                <w:color w:val="000000"/>
              </w:rPr>
              <w:t>1.4</w:t>
            </w:r>
          </w:p>
        </w:tc>
        <w:tc>
          <w:tcPr>
            <w:tcW w:w="2242" w:type="dxa"/>
            <w:tcBorders>
              <w:left w:val="single" w:sz="12" w:space="0" w:color="auto"/>
              <w:right w:val="single" w:sz="12" w:space="0" w:color="auto"/>
            </w:tcBorders>
          </w:tcPr>
          <w:p w:rsidR="008B1DC5" w:rsidRPr="00536EFF" w:rsidRDefault="008B1DC5" w:rsidP="008B1DC5">
            <w:pPr>
              <w:spacing w:before="20" w:after="20"/>
              <w:jc w:val="center"/>
              <w:rPr>
                <w:color w:val="000000"/>
              </w:rPr>
            </w:pPr>
            <w:r w:rsidRPr="00536EFF">
              <w:rPr>
                <w:color w:val="000000"/>
              </w:rPr>
              <w:t>15</w:t>
            </w:r>
          </w:p>
        </w:tc>
      </w:tr>
      <w:tr w:rsidR="008B1DC5" w:rsidRPr="008B1DC5" w:rsidTr="008B1DC5">
        <w:trPr>
          <w:trHeight w:val="300"/>
        </w:trPr>
        <w:tc>
          <w:tcPr>
            <w:tcW w:w="1620" w:type="dxa"/>
            <w:tcBorders>
              <w:left w:val="single" w:sz="12" w:space="0" w:color="auto"/>
              <w:right w:val="single" w:sz="12" w:space="0" w:color="auto"/>
            </w:tcBorders>
            <w:noWrap/>
            <w:vAlign w:val="center"/>
          </w:tcPr>
          <w:p w:rsidR="008B1DC5" w:rsidRPr="00536EFF" w:rsidRDefault="008B1DC5" w:rsidP="008B1DC5">
            <w:pPr>
              <w:tabs>
                <w:tab w:val="left" w:pos="1044"/>
              </w:tabs>
              <w:spacing w:before="20" w:after="20"/>
              <w:jc w:val="center"/>
              <w:rPr>
                <w:b/>
                <w:bCs/>
                <w:color w:val="000000"/>
              </w:rPr>
            </w:pPr>
            <w:r w:rsidRPr="00536EFF">
              <w:rPr>
                <w:b/>
                <w:bCs/>
                <w:color w:val="000000"/>
              </w:rPr>
              <w:t xml:space="preserve">PM (c) </w:t>
            </w:r>
            <w:r w:rsidRPr="00536EFF">
              <w:rPr>
                <w:b/>
                <w:bCs/>
                <w:color w:val="000000"/>
                <w:vertAlign w:val="superscript"/>
              </w:rPr>
              <w:t>1</w:t>
            </w:r>
          </w:p>
        </w:tc>
        <w:tc>
          <w:tcPr>
            <w:tcW w:w="2070" w:type="dxa"/>
            <w:tcBorders>
              <w:left w:val="single" w:sz="12" w:space="0" w:color="auto"/>
              <w:right w:val="single" w:sz="12" w:space="0" w:color="auto"/>
            </w:tcBorders>
            <w:noWrap/>
          </w:tcPr>
          <w:p w:rsidR="008B1DC5" w:rsidRPr="00536EFF" w:rsidRDefault="008B1DC5" w:rsidP="008B1DC5">
            <w:pPr>
              <w:spacing w:before="20" w:after="20"/>
              <w:jc w:val="center"/>
              <w:rPr>
                <w:rFonts w:eastAsia="Calibri"/>
              </w:rPr>
            </w:pPr>
            <w:r w:rsidRPr="00536EFF">
              <w:rPr>
                <w:rFonts w:eastAsia="Calibri"/>
              </w:rPr>
              <w:t>35.1</w:t>
            </w:r>
          </w:p>
        </w:tc>
        <w:tc>
          <w:tcPr>
            <w:tcW w:w="1890" w:type="dxa"/>
            <w:tcBorders>
              <w:left w:val="single" w:sz="12" w:space="0" w:color="auto"/>
              <w:right w:val="single" w:sz="12" w:space="0" w:color="auto"/>
            </w:tcBorders>
            <w:noWrap/>
          </w:tcPr>
          <w:p w:rsidR="008B1DC5" w:rsidRPr="00536EFF" w:rsidRDefault="008B1DC5" w:rsidP="008B1DC5">
            <w:pPr>
              <w:spacing w:before="20" w:after="20"/>
              <w:jc w:val="center"/>
              <w:rPr>
                <w:rFonts w:eastAsia="Calibri"/>
              </w:rPr>
            </w:pPr>
            <w:bookmarkStart w:id="4" w:name="_Toc324618736"/>
            <w:r w:rsidRPr="00536EFF">
              <w:rPr>
                <w:rFonts w:eastAsia="Calibri"/>
              </w:rPr>
              <w:t>37</w:t>
            </w:r>
            <w:bookmarkEnd w:id="4"/>
            <w:r w:rsidRPr="00536EFF">
              <w:rPr>
                <w:rFonts w:eastAsia="Calibri"/>
              </w:rPr>
              <w:t>.1</w:t>
            </w:r>
          </w:p>
        </w:tc>
        <w:tc>
          <w:tcPr>
            <w:tcW w:w="2056" w:type="dxa"/>
            <w:tcBorders>
              <w:left w:val="single" w:sz="12" w:space="0" w:color="auto"/>
              <w:right w:val="single" w:sz="12" w:space="0" w:color="auto"/>
            </w:tcBorders>
            <w:noWrap/>
          </w:tcPr>
          <w:p w:rsidR="008B1DC5" w:rsidRPr="00536EFF" w:rsidRDefault="008B1DC5" w:rsidP="008B1DC5">
            <w:pPr>
              <w:spacing w:before="20" w:after="20"/>
              <w:jc w:val="center"/>
              <w:rPr>
                <w:color w:val="000000"/>
              </w:rPr>
            </w:pPr>
            <w:r w:rsidRPr="00536EFF">
              <w:rPr>
                <w:color w:val="000000"/>
              </w:rPr>
              <w:t>2.0</w:t>
            </w:r>
          </w:p>
        </w:tc>
        <w:tc>
          <w:tcPr>
            <w:tcW w:w="2242" w:type="dxa"/>
            <w:tcBorders>
              <w:left w:val="single" w:sz="12" w:space="0" w:color="auto"/>
              <w:right w:val="single" w:sz="12" w:space="0" w:color="auto"/>
            </w:tcBorders>
          </w:tcPr>
          <w:p w:rsidR="008B1DC5" w:rsidRPr="00536EFF" w:rsidRDefault="008B1DC5" w:rsidP="008B1DC5">
            <w:pPr>
              <w:spacing w:before="20" w:after="20"/>
              <w:jc w:val="center"/>
              <w:rPr>
                <w:color w:val="000000"/>
              </w:rPr>
            </w:pPr>
            <w:r w:rsidRPr="00536EFF">
              <w:rPr>
                <w:color w:val="000000"/>
              </w:rPr>
              <w:t>15</w:t>
            </w:r>
          </w:p>
        </w:tc>
      </w:tr>
      <w:tr w:rsidR="008B1DC5" w:rsidRPr="008B1DC5" w:rsidTr="008B1DC5">
        <w:trPr>
          <w:trHeight w:val="300"/>
        </w:trPr>
        <w:tc>
          <w:tcPr>
            <w:tcW w:w="1620" w:type="dxa"/>
            <w:tcBorders>
              <w:left w:val="single" w:sz="12" w:space="0" w:color="auto"/>
              <w:right w:val="single" w:sz="12" w:space="0" w:color="auto"/>
            </w:tcBorders>
            <w:noWrap/>
            <w:vAlign w:val="center"/>
            <w:hideMark/>
          </w:tcPr>
          <w:p w:rsidR="008B1DC5" w:rsidRPr="00536EFF" w:rsidRDefault="008B1DC5" w:rsidP="008B1DC5">
            <w:pPr>
              <w:spacing w:before="20" w:after="20"/>
              <w:jc w:val="center"/>
              <w:rPr>
                <w:b/>
                <w:bCs/>
                <w:color w:val="000000"/>
              </w:rPr>
            </w:pPr>
            <w:r w:rsidRPr="00536EFF">
              <w:rPr>
                <w:b/>
                <w:bCs/>
                <w:color w:val="000000"/>
              </w:rPr>
              <w:t>VOC</w:t>
            </w:r>
          </w:p>
        </w:tc>
        <w:tc>
          <w:tcPr>
            <w:tcW w:w="2070" w:type="dxa"/>
            <w:tcBorders>
              <w:left w:val="single" w:sz="12" w:space="0" w:color="auto"/>
              <w:right w:val="single" w:sz="12" w:space="0" w:color="auto"/>
            </w:tcBorders>
            <w:noWrap/>
          </w:tcPr>
          <w:p w:rsidR="008B1DC5" w:rsidRPr="00536EFF" w:rsidRDefault="008B1DC5" w:rsidP="008B1DC5">
            <w:pPr>
              <w:spacing w:before="20" w:after="20"/>
              <w:jc w:val="center"/>
              <w:rPr>
                <w:rFonts w:eastAsia="Calibri"/>
              </w:rPr>
            </w:pPr>
            <w:r w:rsidRPr="00536EFF">
              <w:rPr>
                <w:rFonts w:eastAsia="Calibri"/>
              </w:rPr>
              <w:t>4.7</w:t>
            </w:r>
          </w:p>
        </w:tc>
        <w:tc>
          <w:tcPr>
            <w:tcW w:w="1890" w:type="dxa"/>
            <w:tcBorders>
              <w:left w:val="single" w:sz="12" w:space="0" w:color="auto"/>
              <w:right w:val="single" w:sz="12" w:space="0" w:color="auto"/>
            </w:tcBorders>
            <w:noWrap/>
          </w:tcPr>
          <w:p w:rsidR="008B1DC5" w:rsidRPr="00536EFF" w:rsidRDefault="008B1DC5" w:rsidP="008B1DC5">
            <w:pPr>
              <w:spacing w:before="20" w:after="20"/>
              <w:jc w:val="center"/>
              <w:rPr>
                <w:rFonts w:eastAsia="Calibri"/>
              </w:rPr>
            </w:pPr>
            <w:bookmarkStart w:id="5" w:name="_Toc324618737"/>
            <w:r w:rsidRPr="00536EFF">
              <w:rPr>
                <w:rFonts w:eastAsia="Calibri"/>
              </w:rPr>
              <w:t>4.6</w:t>
            </w:r>
            <w:bookmarkEnd w:id="5"/>
          </w:p>
        </w:tc>
        <w:tc>
          <w:tcPr>
            <w:tcW w:w="2056" w:type="dxa"/>
            <w:tcBorders>
              <w:left w:val="single" w:sz="12" w:space="0" w:color="auto"/>
              <w:right w:val="single" w:sz="12" w:space="0" w:color="auto"/>
            </w:tcBorders>
            <w:noWrap/>
          </w:tcPr>
          <w:p w:rsidR="008B1DC5" w:rsidRPr="00536EFF" w:rsidRDefault="008B1DC5" w:rsidP="008B1DC5">
            <w:pPr>
              <w:spacing w:before="20" w:after="20"/>
              <w:jc w:val="center"/>
              <w:rPr>
                <w:color w:val="000000"/>
              </w:rPr>
            </w:pPr>
            <w:r w:rsidRPr="00536EFF">
              <w:rPr>
                <w:color w:val="000000"/>
              </w:rPr>
              <w:t>-0.1</w:t>
            </w:r>
          </w:p>
        </w:tc>
        <w:tc>
          <w:tcPr>
            <w:tcW w:w="2242" w:type="dxa"/>
            <w:tcBorders>
              <w:left w:val="single" w:sz="12" w:space="0" w:color="auto"/>
              <w:right w:val="single" w:sz="12" w:space="0" w:color="auto"/>
            </w:tcBorders>
          </w:tcPr>
          <w:p w:rsidR="008B1DC5" w:rsidRPr="00536EFF" w:rsidRDefault="008B1DC5" w:rsidP="008B1DC5">
            <w:pPr>
              <w:spacing w:before="20" w:after="20"/>
              <w:jc w:val="center"/>
              <w:rPr>
                <w:color w:val="000000"/>
              </w:rPr>
            </w:pPr>
            <w:r w:rsidRPr="00536EFF">
              <w:rPr>
                <w:color w:val="000000"/>
              </w:rPr>
              <w:t>40</w:t>
            </w:r>
          </w:p>
        </w:tc>
      </w:tr>
      <w:tr w:rsidR="008B1DC5" w:rsidRPr="008B1DC5" w:rsidTr="008B1DC5">
        <w:trPr>
          <w:trHeight w:val="300"/>
        </w:trPr>
        <w:tc>
          <w:tcPr>
            <w:tcW w:w="1620" w:type="dxa"/>
            <w:tcBorders>
              <w:left w:val="single" w:sz="12" w:space="0" w:color="auto"/>
              <w:right w:val="single" w:sz="12" w:space="0" w:color="auto"/>
            </w:tcBorders>
            <w:noWrap/>
            <w:vAlign w:val="center"/>
            <w:hideMark/>
          </w:tcPr>
          <w:p w:rsidR="008B1DC5" w:rsidRPr="00536EFF" w:rsidRDefault="008B1DC5" w:rsidP="008B1DC5">
            <w:pPr>
              <w:spacing w:before="20" w:after="20"/>
              <w:jc w:val="center"/>
              <w:rPr>
                <w:b/>
                <w:bCs/>
                <w:color w:val="000000"/>
              </w:rPr>
            </w:pPr>
            <w:r w:rsidRPr="00536EFF">
              <w:rPr>
                <w:b/>
                <w:bCs/>
                <w:color w:val="000000"/>
              </w:rPr>
              <w:t>CO</w:t>
            </w:r>
          </w:p>
        </w:tc>
        <w:tc>
          <w:tcPr>
            <w:tcW w:w="2070" w:type="dxa"/>
            <w:tcBorders>
              <w:left w:val="single" w:sz="12" w:space="0" w:color="auto"/>
              <w:right w:val="single" w:sz="12" w:space="0" w:color="auto"/>
            </w:tcBorders>
            <w:noWrap/>
          </w:tcPr>
          <w:p w:rsidR="008B1DC5" w:rsidRPr="00536EFF" w:rsidRDefault="008B1DC5" w:rsidP="008B1DC5">
            <w:pPr>
              <w:spacing w:before="20" w:after="20"/>
              <w:jc w:val="center"/>
              <w:rPr>
                <w:rFonts w:eastAsia="Calibri"/>
              </w:rPr>
            </w:pPr>
            <w:r w:rsidRPr="00536EFF">
              <w:rPr>
                <w:rFonts w:eastAsia="Calibri"/>
              </w:rPr>
              <w:t>79.0</w:t>
            </w:r>
          </w:p>
        </w:tc>
        <w:tc>
          <w:tcPr>
            <w:tcW w:w="1890" w:type="dxa"/>
            <w:tcBorders>
              <w:left w:val="single" w:sz="12" w:space="0" w:color="auto"/>
              <w:right w:val="single" w:sz="12" w:space="0" w:color="auto"/>
            </w:tcBorders>
            <w:noWrap/>
          </w:tcPr>
          <w:p w:rsidR="008B1DC5" w:rsidRPr="00536EFF" w:rsidRDefault="008B1DC5" w:rsidP="008B1DC5">
            <w:pPr>
              <w:spacing w:before="20" w:after="20"/>
              <w:jc w:val="center"/>
              <w:rPr>
                <w:rFonts w:eastAsia="Calibri"/>
              </w:rPr>
            </w:pPr>
            <w:bookmarkStart w:id="6" w:name="_Toc324618738"/>
            <w:r w:rsidRPr="00536EFF">
              <w:rPr>
                <w:rFonts w:eastAsia="Calibri"/>
              </w:rPr>
              <w:t>79</w:t>
            </w:r>
            <w:bookmarkEnd w:id="6"/>
            <w:r w:rsidRPr="00536EFF">
              <w:rPr>
                <w:rFonts w:eastAsia="Calibri"/>
              </w:rPr>
              <w:t>.4</w:t>
            </w:r>
          </w:p>
        </w:tc>
        <w:tc>
          <w:tcPr>
            <w:tcW w:w="2056" w:type="dxa"/>
            <w:tcBorders>
              <w:left w:val="single" w:sz="12" w:space="0" w:color="auto"/>
              <w:right w:val="single" w:sz="12" w:space="0" w:color="auto"/>
            </w:tcBorders>
            <w:noWrap/>
          </w:tcPr>
          <w:p w:rsidR="008B1DC5" w:rsidRPr="00536EFF" w:rsidRDefault="008B1DC5" w:rsidP="008B1DC5">
            <w:pPr>
              <w:spacing w:before="20" w:after="20"/>
              <w:jc w:val="center"/>
              <w:rPr>
                <w:color w:val="000000"/>
              </w:rPr>
            </w:pPr>
            <w:r w:rsidRPr="00536EFF">
              <w:rPr>
                <w:color w:val="000000"/>
              </w:rPr>
              <w:t>0.4</w:t>
            </w:r>
          </w:p>
        </w:tc>
        <w:tc>
          <w:tcPr>
            <w:tcW w:w="2242" w:type="dxa"/>
            <w:tcBorders>
              <w:left w:val="single" w:sz="12" w:space="0" w:color="auto"/>
              <w:right w:val="single" w:sz="12" w:space="0" w:color="auto"/>
            </w:tcBorders>
          </w:tcPr>
          <w:p w:rsidR="008B1DC5" w:rsidRPr="00536EFF" w:rsidRDefault="008B1DC5" w:rsidP="008B1DC5">
            <w:pPr>
              <w:spacing w:before="20" w:after="20"/>
              <w:jc w:val="center"/>
              <w:rPr>
                <w:color w:val="000000"/>
              </w:rPr>
            </w:pPr>
            <w:r w:rsidRPr="00536EFF">
              <w:rPr>
                <w:color w:val="000000"/>
              </w:rPr>
              <w:t>100</w:t>
            </w:r>
          </w:p>
        </w:tc>
      </w:tr>
      <w:tr w:rsidR="008B1DC5" w:rsidRPr="008B1DC5" w:rsidTr="008B1DC5">
        <w:trPr>
          <w:trHeight w:val="315"/>
        </w:trPr>
        <w:tc>
          <w:tcPr>
            <w:tcW w:w="1620" w:type="dxa"/>
            <w:tcBorders>
              <w:left w:val="single" w:sz="12" w:space="0" w:color="auto"/>
              <w:right w:val="single" w:sz="12" w:space="0" w:color="auto"/>
            </w:tcBorders>
            <w:noWrap/>
            <w:vAlign w:val="center"/>
            <w:hideMark/>
          </w:tcPr>
          <w:p w:rsidR="008B1DC5" w:rsidRPr="00536EFF" w:rsidRDefault="008B1DC5" w:rsidP="008B1DC5">
            <w:pPr>
              <w:spacing w:before="20" w:after="20"/>
              <w:jc w:val="center"/>
              <w:rPr>
                <w:b/>
                <w:bCs/>
                <w:color w:val="000000"/>
                <w:vertAlign w:val="superscript"/>
              </w:rPr>
            </w:pPr>
            <w:r w:rsidRPr="00536EFF">
              <w:rPr>
                <w:b/>
                <w:bCs/>
                <w:color w:val="000000"/>
              </w:rPr>
              <w:t>CH</w:t>
            </w:r>
            <w:r w:rsidRPr="00536EFF">
              <w:rPr>
                <w:b/>
                <w:bCs/>
                <w:color w:val="000000"/>
                <w:vertAlign w:val="subscript"/>
              </w:rPr>
              <w:t>4</w:t>
            </w:r>
            <w:r w:rsidRPr="00536EFF">
              <w:rPr>
                <w:b/>
                <w:bCs/>
                <w:color w:val="000000"/>
              </w:rPr>
              <w:t xml:space="preserve"> </w:t>
            </w:r>
            <w:r w:rsidRPr="00536EFF">
              <w:rPr>
                <w:b/>
                <w:bCs/>
                <w:color w:val="000000"/>
                <w:vertAlign w:val="superscript"/>
              </w:rPr>
              <w:t>1</w:t>
            </w:r>
          </w:p>
        </w:tc>
        <w:tc>
          <w:tcPr>
            <w:tcW w:w="2070" w:type="dxa"/>
            <w:tcBorders>
              <w:left w:val="single" w:sz="12" w:space="0" w:color="auto"/>
              <w:right w:val="single" w:sz="12" w:space="0" w:color="auto"/>
            </w:tcBorders>
            <w:noWrap/>
          </w:tcPr>
          <w:p w:rsidR="008B1DC5" w:rsidRPr="00536EFF" w:rsidRDefault="008B1DC5" w:rsidP="008B1DC5">
            <w:pPr>
              <w:spacing w:before="20" w:after="20"/>
              <w:jc w:val="center"/>
              <w:rPr>
                <w:rFonts w:eastAsia="Calibri"/>
              </w:rPr>
            </w:pPr>
            <w:r w:rsidRPr="00536EFF">
              <w:rPr>
                <w:rFonts w:eastAsia="Calibri"/>
              </w:rPr>
              <w:t>150.0</w:t>
            </w:r>
          </w:p>
        </w:tc>
        <w:tc>
          <w:tcPr>
            <w:tcW w:w="1890" w:type="dxa"/>
            <w:tcBorders>
              <w:left w:val="single" w:sz="12" w:space="0" w:color="auto"/>
              <w:right w:val="single" w:sz="12" w:space="0" w:color="auto"/>
            </w:tcBorders>
            <w:noWrap/>
          </w:tcPr>
          <w:p w:rsidR="008B1DC5" w:rsidRPr="00536EFF" w:rsidRDefault="008B1DC5" w:rsidP="008B1DC5">
            <w:pPr>
              <w:spacing w:before="20" w:after="20"/>
              <w:jc w:val="center"/>
              <w:rPr>
                <w:rFonts w:eastAsia="Calibri"/>
              </w:rPr>
            </w:pPr>
            <w:bookmarkStart w:id="7" w:name="_Toc324618739"/>
            <w:r w:rsidRPr="00536EFF">
              <w:rPr>
                <w:rFonts w:eastAsia="Calibri"/>
              </w:rPr>
              <w:t>150</w:t>
            </w:r>
            <w:bookmarkEnd w:id="7"/>
            <w:r w:rsidRPr="00536EFF">
              <w:rPr>
                <w:rFonts w:eastAsia="Calibri"/>
              </w:rPr>
              <w:t>.0</w:t>
            </w:r>
          </w:p>
        </w:tc>
        <w:tc>
          <w:tcPr>
            <w:tcW w:w="2056" w:type="dxa"/>
            <w:tcBorders>
              <w:left w:val="single" w:sz="12" w:space="0" w:color="auto"/>
              <w:right w:val="single" w:sz="12" w:space="0" w:color="auto"/>
            </w:tcBorders>
            <w:noWrap/>
          </w:tcPr>
          <w:p w:rsidR="008B1DC5" w:rsidRPr="00536EFF" w:rsidRDefault="008B1DC5" w:rsidP="008B1DC5">
            <w:pPr>
              <w:spacing w:before="20" w:after="20"/>
              <w:jc w:val="center"/>
              <w:rPr>
                <w:color w:val="000000"/>
              </w:rPr>
            </w:pPr>
            <w:r w:rsidRPr="00536EFF">
              <w:rPr>
                <w:color w:val="000000"/>
              </w:rPr>
              <w:t>0.0</w:t>
            </w:r>
          </w:p>
        </w:tc>
        <w:tc>
          <w:tcPr>
            <w:tcW w:w="2242" w:type="dxa"/>
            <w:tcBorders>
              <w:left w:val="single" w:sz="12" w:space="0" w:color="auto"/>
              <w:right w:val="single" w:sz="12" w:space="0" w:color="auto"/>
            </w:tcBorders>
          </w:tcPr>
          <w:p w:rsidR="008B1DC5" w:rsidRPr="00536EFF" w:rsidRDefault="003A492C" w:rsidP="008B1DC5">
            <w:pPr>
              <w:spacing w:before="20" w:after="20"/>
              <w:jc w:val="center"/>
              <w:rPr>
                <w:color w:val="000000"/>
              </w:rPr>
            </w:pPr>
            <w:r w:rsidRPr="00536EFF">
              <w:rPr>
                <w:color w:val="000000"/>
              </w:rPr>
              <w:t>NA</w:t>
            </w:r>
            <w:r w:rsidRPr="00536EFF">
              <w:rPr>
                <w:color w:val="000000"/>
                <w:vertAlign w:val="superscript"/>
              </w:rPr>
              <w:t>2</w:t>
            </w:r>
          </w:p>
        </w:tc>
      </w:tr>
      <w:tr w:rsidR="008B1DC5" w:rsidRPr="008B1DC5" w:rsidTr="008B1DC5">
        <w:trPr>
          <w:trHeight w:val="315"/>
        </w:trPr>
        <w:tc>
          <w:tcPr>
            <w:tcW w:w="1620" w:type="dxa"/>
            <w:tcBorders>
              <w:left w:val="single" w:sz="12" w:space="0" w:color="auto"/>
              <w:right w:val="single" w:sz="12" w:space="0" w:color="auto"/>
            </w:tcBorders>
            <w:noWrap/>
            <w:vAlign w:val="center"/>
          </w:tcPr>
          <w:p w:rsidR="008B1DC5" w:rsidRPr="00536EFF" w:rsidRDefault="008B1DC5" w:rsidP="008B1DC5">
            <w:pPr>
              <w:spacing w:before="20" w:after="20"/>
              <w:jc w:val="center"/>
              <w:rPr>
                <w:b/>
                <w:bCs/>
                <w:color w:val="000000"/>
              </w:rPr>
            </w:pPr>
            <w:r w:rsidRPr="00536EFF">
              <w:rPr>
                <w:b/>
                <w:bCs/>
                <w:color w:val="000000"/>
              </w:rPr>
              <w:t>N</w:t>
            </w:r>
            <w:r w:rsidRPr="00536EFF">
              <w:rPr>
                <w:b/>
                <w:bCs/>
                <w:color w:val="000000"/>
                <w:vertAlign w:val="subscript"/>
              </w:rPr>
              <w:t>2</w:t>
            </w:r>
            <w:r w:rsidRPr="00536EFF">
              <w:rPr>
                <w:b/>
                <w:bCs/>
                <w:color w:val="000000"/>
              </w:rPr>
              <w:t xml:space="preserve">O </w:t>
            </w:r>
            <w:r w:rsidRPr="00536EFF">
              <w:rPr>
                <w:b/>
                <w:bCs/>
                <w:color w:val="000000"/>
                <w:vertAlign w:val="superscript"/>
              </w:rPr>
              <w:t>1</w:t>
            </w:r>
          </w:p>
        </w:tc>
        <w:tc>
          <w:tcPr>
            <w:tcW w:w="2070" w:type="dxa"/>
            <w:tcBorders>
              <w:left w:val="single" w:sz="12" w:space="0" w:color="auto"/>
              <w:right w:val="single" w:sz="12" w:space="0" w:color="auto"/>
            </w:tcBorders>
            <w:noWrap/>
          </w:tcPr>
          <w:p w:rsidR="008B1DC5" w:rsidRPr="00536EFF" w:rsidRDefault="008B1DC5" w:rsidP="008B1DC5">
            <w:pPr>
              <w:spacing w:before="20" w:after="20"/>
              <w:jc w:val="center"/>
              <w:rPr>
                <w:rFonts w:eastAsia="Calibri"/>
              </w:rPr>
            </w:pPr>
            <w:r w:rsidRPr="00536EFF">
              <w:rPr>
                <w:rFonts w:eastAsia="Calibri"/>
              </w:rPr>
              <w:t>22.1</w:t>
            </w:r>
          </w:p>
        </w:tc>
        <w:tc>
          <w:tcPr>
            <w:tcW w:w="1890" w:type="dxa"/>
            <w:tcBorders>
              <w:left w:val="single" w:sz="12" w:space="0" w:color="auto"/>
              <w:right w:val="single" w:sz="12" w:space="0" w:color="auto"/>
            </w:tcBorders>
            <w:noWrap/>
          </w:tcPr>
          <w:p w:rsidR="008B1DC5" w:rsidRPr="00536EFF" w:rsidRDefault="008B1DC5" w:rsidP="008B1DC5">
            <w:pPr>
              <w:spacing w:before="20" w:after="20"/>
              <w:jc w:val="center"/>
              <w:rPr>
                <w:rFonts w:eastAsia="Calibri"/>
              </w:rPr>
            </w:pPr>
            <w:bookmarkStart w:id="8" w:name="_Toc324618740"/>
            <w:r w:rsidRPr="00536EFF">
              <w:rPr>
                <w:rFonts w:eastAsia="Calibri"/>
              </w:rPr>
              <w:t>22</w:t>
            </w:r>
            <w:bookmarkEnd w:id="8"/>
            <w:r w:rsidRPr="00536EFF">
              <w:rPr>
                <w:rFonts w:eastAsia="Calibri"/>
              </w:rPr>
              <w:t>.0</w:t>
            </w:r>
          </w:p>
        </w:tc>
        <w:tc>
          <w:tcPr>
            <w:tcW w:w="2056" w:type="dxa"/>
            <w:tcBorders>
              <w:left w:val="single" w:sz="12" w:space="0" w:color="auto"/>
              <w:right w:val="single" w:sz="12" w:space="0" w:color="auto"/>
            </w:tcBorders>
            <w:noWrap/>
          </w:tcPr>
          <w:p w:rsidR="008B1DC5" w:rsidRPr="00536EFF" w:rsidRDefault="008B1DC5" w:rsidP="008B1DC5">
            <w:pPr>
              <w:spacing w:before="20" w:after="20"/>
              <w:jc w:val="center"/>
              <w:rPr>
                <w:color w:val="000000"/>
              </w:rPr>
            </w:pPr>
            <w:r w:rsidRPr="00536EFF">
              <w:rPr>
                <w:color w:val="000000"/>
              </w:rPr>
              <w:t>-0.1</w:t>
            </w:r>
          </w:p>
        </w:tc>
        <w:tc>
          <w:tcPr>
            <w:tcW w:w="2242" w:type="dxa"/>
            <w:tcBorders>
              <w:left w:val="single" w:sz="12" w:space="0" w:color="auto"/>
              <w:right w:val="single" w:sz="12" w:space="0" w:color="auto"/>
            </w:tcBorders>
          </w:tcPr>
          <w:p w:rsidR="008B1DC5" w:rsidRPr="00536EFF" w:rsidRDefault="00536EFF" w:rsidP="008B1DC5">
            <w:pPr>
              <w:spacing w:before="20" w:after="20"/>
              <w:jc w:val="center"/>
              <w:rPr>
                <w:color w:val="000000"/>
              </w:rPr>
            </w:pPr>
            <w:r w:rsidRPr="00536EFF">
              <w:rPr>
                <w:color w:val="000000"/>
              </w:rPr>
              <w:t>NA</w:t>
            </w:r>
            <w:r w:rsidRPr="00536EFF">
              <w:rPr>
                <w:color w:val="000000"/>
                <w:vertAlign w:val="superscript"/>
              </w:rPr>
              <w:t>2</w:t>
            </w:r>
          </w:p>
        </w:tc>
      </w:tr>
      <w:tr w:rsidR="008B1DC5" w:rsidRPr="008B1DC5" w:rsidTr="008B1DC5">
        <w:trPr>
          <w:trHeight w:val="315"/>
        </w:trPr>
        <w:tc>
          <w:tcPr>
            <w:tcW w:w="1620" w:type="dxa"/>
            <w:tcBorders>
              <w:left w:val="single" w:sz="12" w:space="0" w:color="auto"/>
              <w:bottom w:val="single" w:sz="4" w:space="0" w:color="auto"/>
              <w:right w:val="single" w:sz="12" w:space="0" w:color="auto"/>
            </w:tcBorders>
            <w:noWrap/>
            <w:vAlign w:val="center"/>
          </w:tcPr>
          <w:p w:rsidR="008B1DC5" w:rsidRPr="00536EFF" w:rsidRDefault="008B1DC5" w:rsidP="008B1DC5">
            <w:pPr>
              <w:spacing w:before="20" w:after="20"/>
              <w:jc w:val="center"/>
              <w:rPr>
                <w:b/>
                <w:bCs/>
                <w:color w:val="000000"/>
              </w:rPr>
            </w:pPr>
            <w:r w:rsidRPr="00536EFF">
              <w:rPr>
                <w:b/>
                <w:bCs/>
                <w:color w:val="000000"/>
              </w:rPr>
              <w:t>CO</w:t>
            </w:r>
            <w:r w:rsidRPr="00536EFF">
              <w:rPr>
                <w:b/>
                <w:bCs/>
                <w:color w:val="000000"/>
                <w:vertAlign w:val="subscript"/>
              </w:rPr>
              <w:t>2</w:t>
            </w:r>
          </w:p>
        </w:tc>
        <w:tc>
          <w:tcPr>
            <w:tcW w:w="2070" w:type="dxa"/>
            <w:tcBorders>
              <w:left w:val="single" w:sz="12" w:space="0" w:color="auto"/>
              <w:bottom w:val="single" w:sz="4" w:space="0" w:color="auto"/>
              <w:right w:val="single" w:sz="12" w:space="0" w:color="auto"/>
            </w:tcBorders>
            <w:noWrap/>
          </w:tcPr>
          <w:p w:rsidR="008B1DC5" w:rsidRPr="00536EFF" w:rsidRDefault="008B1DC5" w:rsidP="008B1DC5">
            <w:pPr>
              <w:spacing w:before="20" w:after="20"/>
              <w:jc w:val="center"/>
              <w:rPr>
                <w:rFonts w:eastAsia="Calibri"/>
              </w:rPr>
            </w:pPr>
            <w:r w:rsidRPr="00536EFF">
              <w:rPr>
                <w:rFonts w:eastAsia="Calibri"/>
              </w:rPr>
              <w:t>1,764,380</w:t>
            </w:r>
          </w:p>
        </w:tc>
        <w:tc>
          <w:tcPr>
            <w:tcW w:w="1890" w:type="dxa"/>
            <w:tcBorders>
              <w:left w:val="single" w:sz="12" w:space="0" w:color="auto"/>
              <w:bottom w:val="single" w:sz="4" w:space="0" w:color="auto"/>
              <w:right w:val="single" w:sz="12" w:space="0" w:color="auto"/>
            </w:tcBorders>
            <w:noWrap/>
          </w:tcPr>
          <w:p w:rsidR="008B1DC5" w:rsidRPr="00536EFF" w:rsidRDefault="008B1DC5" w:rsidP="008B1DC5">
            <w:pPr>
              <w:spacing w:before="20" w:after="20"/>
              <w:jc w:val="center"/>
              <w:rPr>
                <w:rFonts w:eastAsia="Calibri"/>
              </w:rPr>
            </w:pPr>
            <w:bookmarkStart w:id="9" w:name="_Toc324618741"/>
            <w:r w:rsidRPr="00536EFF">
              <w:rPr>
                <w:rFonts w:eastAsia="Calibri"/>
              </w:rPr>
              <w:t>1,752,040</w:t>
            </w:r>
            <w:bookmarkEnd w:id="9"/>
          </w:p>
        </w:tc>
        <w:tc>
          <w:tcPr>
            <w:tcW w:w="2056" w:type="dxa"/>
            <w:tcBorders>
              <w:left w:val="single" w:sz="12" w:space="0" w:color="auto"/>
              <w:bottom w:val="single" w:sz="4" w:space="0" w:color="auto"/>
              <w:right w:val="single" w:sz="12" w:space="0" w:color="auto"/>
            </w:tcBorders>
            <w:noWrap/>
          </w:tcPr>
          <w:p w:rsidR="008B1DC5" w:rsidRPr="00536EFF" w:rsidRDefault="008B1DC5" w:rsidP="008B1DC5">
            <w:pPr>
              <w:spacing w:before="20" w:after="20"/>
              <w:jc w:val="center"/>
              <w:rPr>
                <w:color w:val="000000"/>
              </w:rPr>
            </w:pPr>
            <w:r w:rsidRPr="00536EFF">
              <w:rPr>
                <w:color w:val="000000"/>
              </w:rPr>
              <w:t>-12,340</w:t>
            </w:r>
          </w:p>
        </w:tc>
        <w:tc>
          <w:tcPr>
            <w:tcW w:w="2242" w:type="dxa"/>
            <w:tcBorders>
              <w:left w:val="single" w:sz="12" w:space="0" w:color="auto"/>
              <w:bottom w:val="single" w:sz="4" w:space="0" w:color="auto"/>
              <w:right w:val="single" w:sz="12" w:space="0" w:color="auto"/>
            </w:tcBorders>
          </w:tcPr>
          <w:p w:rsidR="008B1DC5" w:rsidRPr="00536EFF" w:rsidRDefault="00536EFF" w:rsidP="008B1DC5">
            <w:pPr>
              <w:spacing w:before="20" w:after="20"/>
              <w:jc w:val="center"/>
              <w:rPr>
                <w:color w:val="000000"/>
              </w:rPr>
            </w:pPr>
            <w:r w:rsidRPr="00536EFF">
              <w:rPr>
                <w:color w:val="000000"/>
              </w:rPr>
              <w:t>NA</w:t>
            </w:r>
            <w:r w:rsidRPr="00536EFF">
              <w:rPr>
                <w:color w:val="000000"/>
                <w:vertAlign w:val="superscript"/>
              </w:rPr>
              <w:t>2</w:t>
            </w:r>
          </w:p>
        </w:tc>
      </w:tr>
      <w:tr w:rsidR="008B1DC5" w:rsidRPr="008B1DC5" w:rsidTr="008B1DC5">
        <w:trPr>
          <w:trHeight w:val="315"/>
        </w:trPr>
        <w:tc>
          <w:tcPr>
            <w:tcW w:w="1620" w:type="dxa"/>
            <w:tcBorders>
              <w:left w:val="single" w:sz="12" w:space="0" w:color="auto"/>
              <w:bottom w:val="single" w:sz="12" w:space="0" w:color="auto"/>
              <w:right w:val="single" w:sz="12" w:space="0" w:color="auto"/>
            </w:tcBorders>
            <w:noWrap/>
            <w:vAlign w:val="center"/>
          </w:tcPr>
          <w:p w:rsidR="008B1DC5" w:rsidRPr="00536EFF" w:rsidRDefault="008B1DC5" w:rsidP="008B1DC5">
            <w:pPr>
              <w:spacing w:before="20" w:after="20"/>
              <w:jc w:val="center"/>
              <w:rPr>
                <w:b/>
                <w:bCs/>
                <w:color w:val="000000"/>
              </w:rPr>
            </w:pPr>
            <w:r w:rsidRPr="00536EFF">
              <w:rPr>
                <w:b/>
                <w:bCs/>
                <w:color w:val="000000"/>
              </w:rPr>
              <w:t>CO</w:t>
            </w:r>
            <w:r w:rsidRPr="00536EFF">
              <w:rPr>
                <w:b/>
                <w:bCs/>
                <w:color w:val="000000"/>
                <w:vertAlign w:val="subscript"/>
              </w:rPr>
              <w:t>2</w:t>
            </w:r>
            <w:r w:rsidRPr="00536EFF">
              <w:rPr>
                <w:b/>
                <w:bCs/>
                <w:color w:val="000000"/>
              </w:rPr>
              <w:t>e</w:t>
            </w:r>
          </w:p>
        </w:tc>
        <w:tc>
          <w:tcPr>
            <w:tcW w:w="2070" w:type="dxa"/>
            <w:tcBorders>
              <w:left w:val="single" w:sz="12" w:space="0" w:color="auto"/>
              <w:bottom w:val="single" w:sz="12" w:space="0" w:color="auto"/>
              <w:right w:val="single" w:sz="12" w:space="0" w:color="auto"/>
            </w:tcBorders>
            <w:noWrap/>
          </w:tcPr>
          <w:p w:rsidR="008B1DC5" w:rsidRPr="00536EFF" w:rsidRDefault="008B1DC5" w:rsidP="008B1DC5">
            <w:pPr>
              <w:spacing w:before="20" w:after="20"/>
              <w:jc w:val="center"/>
              <w:rPr>
                <w:rFonts w:eastAsia="Calibri"/>
              </w:rPr>
            </w:pPr>
            <w:r w:rsidRPr="00536EFF">
              <w:rPr>
                <w:rFonts w:eastAsia="Calibri"/>
              </w:rPr>
              <w:t>1,777,420</w:t>
            </w:r>
          </w:p>
        </w:tc>
        <w:tc>
          <w:tcPr>
            <w:tcW w:w="1890" w:type="dxa"/>
            <w:tcBorders>
              <w:left w:val="single" w:sz="12" w:space="0" w:color="auto"/>
              <w:bottom w:val="single" w:sz="12" w:space="0" w:color="auto"/>
              <w:right w:val="single" w:sz="12" w:space="0" w:color="auto"/>
            </w:tcBorders>
            <w:noWrap/>
          </w:tcPr>
          <w:p w:rsidR="008B1DC5" w:rsidRPr="00536EFF" w:rsidRDefault="008B1DC5" w:rsidP="008B1DC5">
            <w:pPr>
              <w:spacing w:before="20" w:after="20"/>
              <w:jc w:val="center"/>
              <w:rPr>
                <w:rFonts w:eastAsia="Calibri"/>
              </w:rPr>
            </w:pPr>
            <w:bookmarkStart w:id="10" w:name="_Toc324618742"/>
            <w:r w:rsidRPr="00536EFF">
              <w:rPr>
                <w:rFonts w:eastAsia="Calibri"/>
              </w:rPr>
              <w:t>1,762,040</w:t>
            </w:r>
            <w:bookmarkEnd w:id="10"/>
          </w:p>
        </w:tc>
        <w:tc>
          <w:tcPr>
            <w:tcW w:w="2056" w:type="dxa"/>
            <w:tcBorders>
              <w:left w:val="single" w:sz="12" w:space="0" w:color="auto"/>
              <w:bottom w:val="single" w:sz="12" w:space="0" w:color="auto"/>
              <w:right w:val="single" w:sz="12" w:space="0" w:color="auto"/>
            </w:tcBorders>
            <w:noWrap/>
          </w:tcPr>
          <w:p w:rsidR="008B1DC5" w:rsidRPr="00536EFF" w:rsidRDefault="008B1DC5" w:rsidP="008B1DC5">
            <w:pPr>
              <w:spacing w:before="20" w:after="20"/>
              <w:jc w:val="center"/>
              <w:rPr>
                <w:color w:val="000000"/>
              </w:rPr>
            </w:pPr>
            <w:r w:rsidRPr="00536EFF">
              <w:rPr>
                <w:color w:val="000000"/>
              </w:rPr>
              <w:t>-15,380</w:t>
            </w:r>
          </w:p>
        </w:tc>
        <w:tc>
          <w:tcPr>
            <w:tcW w:w="2242" w:type="dxa"/>
            <w:tcBorders>
              <w:left w:val="single" w:sz="12" w:space="0" w:color="auto"/>
              <w:bottom w:val="single" w:sz="12" w:space="0" w:color="auto"/>
              <w:right w:val="single" w:sz="12" w:space="0" w:color="auto"/>
            </w:tcBorders>
          </w:tcPr>
          <w:p w:rsidR="008B1DC5" w:rsidRPr="00536EFF" w:rsidRDefault="008B1DC5" w:rsidP="008B1DC5">
            <w:pPr>
              <w:spacing w:before="20" w:after="20"/>
              <w:jc w:val="center"/>
              <w:rPr>
                <w:color w:val="000000"/>
              </w:rPr>
            </w:pPr>
            <w:r w:rsidRPr="00536EFF">
              <w:rPr>
                <w:color w:val="000000"/>
              </w:rPr>
              <w:t xml:space="preserve">75,000 </w:t>
            </w:r>
            <w:r w:rsidRPr="00536EFF">
              <w:rPr>
                <w:b/>
                <w:color w:val="000000"/>
                <w:vertAlign w:val="superscript"/>
              </w:rPr>
              <w:t>2</w:t>
            </w:r>
          </w:p>
        </w:tc>
      </w:tr>
      <w:tr w:rsidR="008B1DC5" w:rsidRPr="008B1DC5" w:rsidTr="008B1DC5">
        <w:trPr>
          <w:trHeight w:val="315"/>
        </w:trPr>
        <w:tc>
          <w:tcPr>
            <w:tcW w:w="9878" w:type="dxa"/>
            <w:gridSpan w:val="5"/>
            <w:tcBorders>
              <w:top w:val="single" w:sz="12" w:space="0" w:color="auto"/>
              <w:left w:val="single" w:sz="12" w:space="0" w:color="auto"/>
              <w:bottom w:val="single" w:sz="12" w:space="0" w:color="auto"/>
              <w:right w:val="single" w:sz="12" w:space="0" w:color="auto"/>
            </w:tcBorders>
            <w:noWrap/>
            <w:vAlign w:val="center"/>
          </w:tcPr>
          <w:p w:rsidR="008B1DC5" w:rsidRPr="00536EFF" w:rsidRDefault="008B1DC5" w:rsidP="00511785">
            <w:pPr>
              <w:numPr>
                <w:ilvl w:val="0"/>
                <w:numId w:val="4"/>
              </w:numPr>
              <w:rPr>
                <w:rFonts w:eastAsiaTheme="minorHAnsi"/>
                <w:color w:val="000000"/>
              </w:rPr>
            </w:pPr>
            <w:r w:rsidRPr="00536EFF">
              <w:rPr>
                <w:rFonts w:eastAsiaTheme="minorHAnsi"/>
                <w:color w:val="000000"/>
              </w:rPr>
              <w:t>f = filterable portion of PM; c = condensable portion of PM; CH</w:t>
            </w:r>
            <w:r w:rsidRPr="00536EFF">
              <w:rPr>
                <w:rFonts w:eastAsiaTheme="minorHAnsi"/>
                <w:color w:val="000000"/>
                <w:vertAlign w:val="subscript"/>
              </w:rPr>
              <w:t>4</w:t>
            </w:r>
            <w:r w:rsidRPr="00536EFF">
              <w:rPr>
                <w:rFonts w:eastAsiaTheme="minorHAnsi"/>
                <w:color w:val="000000"/>
              </w:rPr>
              <w:t xml:space="preserve"> = Methane; and NO</w:t>
            </w:r>
            <w:r w:rsidRPr="00536EFF">
              <w:rPr>
                <w:rFonts w:eastAsiaTheme="minorHAnsi"/>
                <w:color w:val="000000"/>
                <w:vertAlign w:val="subscript"/>
              </w:rPr>
              <w:t>2</w:t>
            </w:r>
            <w:r w:rsidRPr="00536EFF">
              <w:rPr>
                <w:rFonts w:eastAsiaTheme="minorHAnsi"/>
                <w:color w:val="000000"/>
              </w:rPr>
              <w:t xml:space="preserve"> = Nitrous oxide.</w:t>
            </w:r>
          </w:p>
          <w:p w:rsidR="008B1DC5" w:rsidRPr="00536EFF" w:rsidRDefault="008B1DC5" w:rsidP="00511785">
            <w:pPr>
              <w:numPr>
                <w:ilvl w:val="0"/>
                <w:numId w:val="4"/>
              </w:numPr>
              <w:rPr>
                <w:rFonts w:eastAsiaTheme="minorHAnsi"/>
                <w:color w:val="000000"/>
              </w:rPr>
            </w:pPr>
            <w:r w:rsidRPr="00536EFF">
              <w:rPr>
                <w:rFonts w:eastAsiaTheme="minorHAnsi"/>
                <w:color w:val="000000"/>
              </w:rPr>
              <w:t>There is a federal SER of 75,000 TPY for Greenhouse CO</w:t>
            </w:r>
            <w:r w:rsidRPr="00536EFF">
              <w:rPr>
                <w:rFonts w:eastAsiaTheme="minorHAnsi"/>
                <w:color w:val="000000"/>
                <w:vertAlign w:val="subscript"/>
              </w:rPr>
              <w:t>2</w:t>
            </w:r>
            <w:r w:rsidRPr="00536EFF">
              <w:rPr>
                <w:rFonts w:eastAsiaTheme="minorHAnsi"/>
                <w:color w:val="000000"/>
              </w:rPr>
              <w:t>e that has not been incorporated into Department rules.</w:t>
            </w:r>
          </w:p>
        </w:tc>
      </w:tr>
    </w:tbl>
    <w:p w:rsidR="00CB75EE" w:rsidRDefault="008B1DC5" w:rsidP="008B1DC5">
      <w:pPr>
        <w:spacing w:before="120" w:after="120"/>
        <w:rPr>
          <w:sz w:val="22"/>
          <w:szCs w:val="22"/>
        </w:rPr>
      </w:pPr>
      <w:r w:rsidRPr="008B1DC5">
        <w:rPr>
          <w:sz w:val="22"/>
          <w:szCs w:val="22"/>
        </w:rPr>
        <w:t>Based on the applicant’s PSD analysis, no emission increases resulting from the project will exceed the SER for any pollutant</w:t>
      </w:r>
      <w:r w:rsidR="00536EFF">
        <w:rPr>
          <w:sz w:val="22"/>
          <w:szCs w:val="22"/>
        </w:rPr>
        <w:t xml:space="preserve"> and the project does not trigger PSD preconstruction review.</w:t>
      </w:r>
    </w:p>
    <w:p w:rsidR="00CB75EE" w:rsidRDefault="00CB75EE" w:rsidP="00CB75EE">
      <w:pPr>
        <w:pStyle w:val="ListParagraph"/>
        <w:numPr>
          <w:ilvl w:val="0"/>
          <w:numId w:val="53"/>
        </w:numPr>
        <w:spacing w:before="120" w:after="120"/>
        <w:ind w:left="360"/>
        <w:contextualSpacing w:val="0"/>
        <w:rPr>
          <w:rFonts w:ascii="Times New Roman" w:hAnsi="Times New Roman" w:cs="Times New Roman"/>
          <w:u w:val="single"/>
        </w:rPr>
      </w:pPr>
      <w:r w:rsidRPr="00CB75EE">
        <w:rPr>
          <w:rFonts w:ascii="Times New Roman" w:hAnsi="Times New Roman" w:cs="Times New Roman"/>
          <w:u w:val="single"/>
        </w:rPr>
        <w:t>Other Minor Changes</w:t>
      </w:r>
    </w:p>
    <w:p w:rsidR="00FB3BB9" w:rsidRPr="005B236F" w:rsidRDefault="00043A0E" w:rsidP="00FF39C6">
      <w:pPr>
        <w:numPr>
          <w:ilvl w:val="12"/>
          <w:numId w:val="0"/>
        </w:numPr>
        <w:spacing w:after="120"/>
        <w:rPr>
          <w:sz w:val="22"/>
          <w:szCs w:val="22"/>
        </w:rPr>
      </w:pPr>
      <w:r w:rsidRPr="00043A0E">
        <w:rPr>
          <w:sz w:val="22"/>
          <w:szCs w:val="22"/>
        </w:rPr>
        <w:t xml:space="preserve">TECO made a request to modify the DLN tuning requirements for the simple cycle gas-fired turbine Units 4 and 5.  Specifically, TECO requested </w:t>
      </w:r>
      <w:r w:rsidR="00536EFF">
        <w:rPr>
          <w:sz w:val="22"/>
          <w:szCs w:val="22"/>
        </w:rPr>
        <w:t xml:space="preserve">a requirement to </w:t>
      </w:r>
      <w:r w:rsidRPr="00043A0E">
        <w:rPr>
          <w:sz w:val="22"/>
          <w:szCs w:val="22"/>
        </w:rPr>
        <w:t>report excess NO</w:t>
      </w:r>
      <w:r w:rsidRPr="00043A0E">
        <w:rPr>
          <w:sz w:val="22"/>
          <w:szCs w:val="22"/>
          <w:vertAlign w:val="subscript"/>
        </w:rPr>
        <w:t>X</w:t>
      </w:r>
      <w:r w:rsidRPr="00043A0E">
        <w:rPr>
          <w:sz w:val="22"/>
          <w:szCs w:val="22"/>
        </w:rPr>
        <w:t xml:space="preserve"> emissions on a quarterly basis and </w:t>
      </w:r>
      <w:r w:rsidR="00536EFF">
        <w:rPr>
          <w:sz w:val="22"/>
          <w:szCs w:val="22"/>
        </w:rPr>
        <w:t xml:space="preserve">removal of </w:t>
      </w:r>
      <w:r w:rsidRPr="00043A0E">
        <w:rPr>
          <w:sz w:val="22"/>
          <w:szCs w:val="22"/>
        </w:rPr>
        <w:t xml:space="preserve">the requirement </w:t>
      </w:r>
      <w:r w:rsidR="00536EFF">
        <w:rPr>
          <w:sz w:val="22"/>
          <w:szCs w:val="22"/>
        </w:rPr>
        <w:t xml:space="preserve">for an advance notice of tuning.  </w:t>
      </w:r>
      <w:r w:rsidR="00FF39C6">
        <w:rPr>
          <w:sz w:val="22"/>
          <w:szCs w:val="22"/>
        </w:rPr>
        <w:t>Th</w:t>
      </w:r>
      <w:r w:rsidR="007125C8">
        <w:rPr>
          <w:sz w:val="22"/>
          <w:szCs w:val="22"/>
        </w:rPr>
        <w:t>ese</w:t>
      </w:r>
      <w:r w:rsidR="00FF39C6">
        <w:rPr>
          <w:sz w:val="22"/>
          <w:szCs w:val="22"/>
        </w:rPr>
        <w:t xml:space="preserve"> change</w:t>
      </w:r>
      <w:r w:rsidR="007125C8">
        <w:rPr>
          <w:sz w:val="22"/>
          <w:szCs w:val="22"/>
        </w:rPr>
        <w:t>s</w:t>
      </w:r>
      <w:r w:rsidR="00FF39C6">
        <w:rPr>
          <w:sz w:val="22"/>
          <w:szCs w:val="22"/>
        </w:rPr>
        <w:t xml:space="preserve"> </w:t>
      </w:r>
      <w:r w:rsidR="007125C8">
        <w:rPr>
          <w:sz w:val="22"/>
          <w:szCs w:val="22"/>
        </w:rPr>
        <w:t>do</w:t>
      </w:r>
      <w:r w:rsidR="00FF39C6">
        <w:rPr>
          <w:sz w:val="22"/>
          <w:szCs w:val="22"/>
        </w:rPr>
        <w:t xml:space="preserve"> not </w:t>
      </w:r>
      <w:r w:rsidR="00302012">
        <w:rPr>
          <w:sz w:val="22"/>
          <w:szCs w:val="22"/>
        </w:rPr>
        <w:t>effect</w:t>
      </w:r>
      <w:r w:rsidR="00FF39C6">
        <w:rPr>
          <w:sz w:val="22"/>
          <w:szCs w:val="22"/>
        </w:rPr>
        <w:t xml:space="preserve"> emissions from the units and will </w:t>
      </w:r>
      <w:r w:rsidR="00604F7F">
        <w:rPr>
          <w:sz w:val="22"/>
          <w:szCs w:val="22"/>
        </w:rPr>
        <w:t>provide the applicant with more flexibility with regard to tuning activities</w:t>
      </w:r>
      <w:r w:rsidR="00FF39C6">
        <w:rPr>
          <w:sz w:val="22"/>
          <w:szCs w:val="22"/>
        </w:rPr>
        <w:t>.</w:t>
      </w:r>
      <w:r w:rsidR="00FB3BB9">
        <w:rPr>
          <w:sz w:val="22"/>
          <w:szCs w:val="22"/>
        </w:rPr>
        <w:t xml:space="preserve">  </w:t>
      </w:r>
      <w:r w:rsidR="00FF39C6">
        <w:rPr>
          <w:sz w:val="22"/>
          <w:szCs w:val="22"/>
        </w:rPr>
        <w:t>TECO</w:t>
      </w:r>
      <w:r w:rsidR="00FF39C6" w:rsidRPr="00AD1E8D">
        <w:rPr>
          <w:sz w:val="22"/>
          <w:szCs w:val="22"/>
        </w:rPr>
        <w:t xml:space="preserve"> also requested that the emission unit numbers of Units 4 and 5 be changed from EU 011 and EU 012 to EU 013 and EU 014 to match </w:t>
      </w:r>
      <w:r w:rsidR="00536EFF">
        <w:rPr>
          <w:sz w:val="22"/>
          <w:szCs w:val="22"/>
        </w:rPr>
        <w:t xml:space="preserve">that ID Nos. established </w:t>
      </w:r>
      <w:r w:rsidR="00FF39C6" w:rsidRPr="00AD1E8D">
        <w:rPr>
          <w:sz w:val="22"/>
          <w:szCs w:val="22"/>
        </w:rPr>
        <w:t>the Department</w:t>
      </w:r>
      <w:r w:rsidR="00536EFF">
        <w:rPr>
          <w:sz w:val="22"/>
          <w:szCs w:val="22"/>
        </w:rPr>
        <w:t>’</w:t>
      </w:r>
      <w:r w:rsidR="00FF39C6" w:rsidRPr="00AD1E8D">
        <w:rPr>
          <w:sz w:val="22"/>
          <w:szCs w:val="22"/>
        </w:rPr>
        <w:t>s ARMS database.</w:t>
      </w:r>
      <w:r w:rsidR="00FF39C6">
        <w:rPr>
          <w:sz w:val="22"/>
          <w:szCs w:val="22"/>
        </w:rPr>
        <w:t xml:space="preserve">  </w:t>
      </w:r>
      <w:r w:rsidR="00FB3BB9">
        <w:rPr>
          <w:sz w:val="22"/>
          <w:szCs w:val="22"/>
        </w:rPr>
        <w:t>The</w:t>
      </w:r>
      <w:r w:rsidR="00536EFF">
        <w:rPr>
          <w:sz w:val="22"/>
          <w:szCs w:val="22"/>
        </w:rPr>
        <w:t>se</w:t>
      </w:r>
      <w:r w:rsidR="00FB3BB9">
        <w:rPr>
          <w:sz w:val="22"/>
          <w:szCs w:val="22"/>
        </w:rPr>
        <w:t xml:space="preserve"> changes </w:t>
      </w:r>
      <w:r w:rsidR="002F3B5B">
        <w:rPr>
          <w:sz w:val="22"/>
          <w:szCs w:val="22"/>
        </w:rPr>
        <w:t xml:space="preserve">are </w:t>
      </w:r>
      <w:r w:rsidR="00FB3BB9">
        <w:rPr>
          <w:sz w:val="22"/>
          <w:szCs w:val="22"/>
        </w:rPr>
        <w:t xml:space="preserve">very minor in scope and will not be discussed </w:t>
      </w:r>
      <w:r w:rsidR="00536EFF">
        <w:rPr>
          <w:sz w:val="22"/>
          <w:szCs w:val="22"/>
        </w:rPr>
        <w:t xml:space="preserve">further </w:t>
      </w:r>
      <w:r w:rsidR="00FB3BB9">
        <w:rPr>
          <w:sz w:val="22"/>
          <w:szCs w:val="22"/>
        </w:rPr>
        <w:t xml:space="preserve">in the </w:t>
      </w:r>
      <w:r w:rsidR="00536EFF">
        <w:rPr>
          <w:sz w:val="22"/>
          <w:szCs w:val="22"/>
        </w:rPr>
        <w:t xml:space="preserve">following </w:t>
      </w:r>
      <w:r w:rsidR="002F3B5B">
        <w:rPr>
          <w:sz w:val="22"/>
          <w:szCs w:val="22"/>
        </w:rPr>
        <w:t>P</w:t>
      </w:r>
      <w:r w:rsidR="00FB3BB9">
        <w:rPr>
          <w:sz w:val="22"/>
          <w:szCs w:val="22"/>
        </w:rPr>
        <w:t xml:space="preserve">roject </w:t>
      </w:r>
      <w:r w:rsidR="002F3B5B">
        <w:rPr>
          <w:sz w:val="22"/>
          <w:szCs w:val="22"/>
        </w:rPr>
        <w:t>R</w:t>
      </w:r>
      <w:r w:rsidR="00FB3BB9">
        <w:rPr>
          <w:sz w:val="22"/>
          <w:szCs w:val="22"/>
        </w:rPr>
        <w:t xml:space="preserve">eview </w:t>
      </w:r>
      <w:r w:rsidR="00302012">
        <w:rPr>
          <w:sz w:val="22"/>
          <w:szCs w:val="22"/>
        </w:rPr>
        <w:t>S</w:t>
      </w:r>
      <w:r w:rsidR="00FB3BB9">
        <w:rPr>
          <w:sz w:val="22"/>
          <w:szCs w:val="22"/>
        </w:rPr>
        <w:t>ection</w:t>
      </w:r>
      <w:r w:rsidR="002F3B5B">
        <w:rPr>
          <w:sz w:val="22"/>
          <w:szCs w:val="22"/>
        </w:rPr>
        <w:t>.</w:t>
      </w:r>
    </w:p>
    <w:p w:rsidR="00193F10" w:rsidRPr="002C66F8" w:rsidRDefault="001071F3" w:rsidP="00511785">
      <w:pPr>
        <w:pStyle w:val="ListParagraph"/>
        <w:numPr>
          <w:ilvl w:val="0"/>
          <w:numId w:val="5"/>
        </w:numPr>
        <w:spacing w:after="120"/>
        <w:ind w:hanging="720"/>
        <w:contextualSpacing w:val="0"/>
        <w:rPr>
          <w:rFonts w:ascii="Times New Roman" w:hAnsi="Times New Roman" w:cs="Times New Roman"/>
          <w:b/>
          <w:caps/>
        </w:rPr>
      </w:pPr>
      <w:r w:rsidRPr="002C66F8">
        <w:rPr>
          <w:rFonts w:ascii="Times New Roman" w:hAnsi="Times New Roman" w:cs="Times New Roman"/>
          <w:b/>
          <w:caps/>
        </w:rPr>
        <w:t>PROJECT</w:t>
      </w:r>
      <w:r w:rsidR="00617209" w:rsidRPr="002C66F8">
        <w:rPr>
          <w:rFonts w:ascii="Times New Roman" w:hAnsi="Times New Roman" w:cs="Times New Roman"/>
          <w:b/>
          <w:caps/>
        </w:rPr>
        <w:t xml:space="preserve"> review</w:t>
      </w:r>
    </w:p>
    <w:p w:rsidR="00356B70" w:rsidRPr="002C66F8" w:rsidRDefault="00356B70" w:rsidP="00511785">
      <w:pPr>
        <w:pStyle w:val="ListParagraph"/>
        <w:numPr>
          <w:ilvl w:val="0"/>
          <w:numId w:val="14"/>
        </w:numPr>
        <w:spacing w:after="120"/>
        <w:ind w:hanging="720"/>
        <w:contextualSpacing w:val="0"/>
        <w:rPr>
          <w:rFonts w:ascii="Times New Roman" w:hAnsi="Times New Roman" w:cs="Times New Roman"/>
          <w:b/>
          <w:caps/>
        </w:rPr>
      </w:pPr>
      <w:r w:rsidRPr="002C66F8">
        <w:rPr>
          <w:rFonts w:ascii="Times New Roman" w:hAnsi="Times New Roman" w:cs="Times New Roman"/>
          <w:b/>
        </w:rPr>
        <w:t>State Regulations</w:t>
      </w:r>
      <w:r w:rsidR="002C66F8" w:rsidRPr="002C66F8">
        <w:rPr>
          <w:rFonts w:ascii="Times New Roman" w:hAnsi="Times New Roman" w:cs="Times New Roman"/>
          <w:b/>
        </w:rPr>
        <w:t>, Projects 1 and 2</w:t>
      </w:r>
    </w:p>
    <w:p w:rsidR="00922314" w:rsidRDefault="00922314" w:rsidP="00356B70">
      <w:pPr>
        <w:pStyle w:val="Default"/>
        <w:spacing w:after="120"/>
        <w:rPr>
          <w:bCs/>
          <w:sz w:val="22"/>
          <w:szCs w:val="22"/>
        </w:rPr>
      </w:pPr>
      <w:r>
        <w:rPr>
          <w:bCs/>
          <w:sz w:val="22"/>
          <w:szCs w:val="22"/>
        </w:rPr>
        <w:t>The facility will continue to operate under its existing air construction and facility Title V operation permits.  The most recent applicable permit is Title V Permit No. 1050233-026-AV available at:</w:t>
      </w:r>
    </w:p>
    <w:p w:rsidR="00922314" w:rsidRPr="00857B7C" w:rsidRDefault="00555EB5" w:rsidP="003B6828">
      <w:pPr>
        <w:pStyle w:val="Default"/>
        <w:spacing w:after="120"/>
        <w:rPr>
          <w:bCs/>
          <w:sz w:val="22"/>
          <w:szCs w:val="22"/>
        </w:rPr>
      </w:pPr>
      <w:hyperlink r:id="rId12" w:history="1">
        <w:r w:rsidR="00DF4A32">
          <w:rPr>
            <w:rStyle w:val="Hyperlink"/>
            <w:bCs/>
            <w:sz w:val="22"/>
            <w:szCs w:val="22"/>
          </w:rPr>
          <w:t>Link to current Title V Permit</w:t>
        </w:r>
      </w:hyperlink>
      <w:r w:rsidR="004E0A4A">
        <w:rPr>
          <w:bCs/>
          <w:sz w:val="22"/>
          <w:szCs w:val="22"/>
        </w:rPr>
        <w:t xml:space="preserve">  </w:t>
      </w:r>
    </w:p>
    <w:p w:rsidR="002C66F8" w:rsidRPr="002C66F8" w:rsidRDefault="002C66F8" w:rsidP="00511785">
      <w:pPr>
        <w:pStyle w:val="ListParagraph"/>
        <w:numPr>
          <w:ilvl w:val="0"/>
          <w:numId w:val="15"/>
        </w:numPr>
        <w:spacing w:after="120"/>
        <w:ind w:hanging="720"/>
        <w:contextualSpacing w:val="0"/>
        <w:rPr>
          <w:rFonts w:ascii="Times New Roman" w:hAnsi="Times New Roman" w:cs="Times New Roman"/>
          <w:b/>
          <w:caps/>
        </w:rPr>
      </w:pPr>
      <w:r w:rsidRPr="002C66F8">
        <w:rPr>
          <w:rFonts w:ascii="Times New Roman" w:hAnsi="Times New Roman" w:cs="Times New Roman"/>
          <w:b/>
        </w:rPr>
        <w:t>Federal Regulations Relating to Project 2</w:t>
      </w:r>
    </w:p>
    <w:p w:rsidR="002C66F8" w:rsidRPr="002C66F8" w:rsidRDefault="002C66F8" w:rsidP="00511785">
      <w:pPr>
        <w:pStyle w:val="ListParagraph"/>
        <w:numPr>
          <w:ilvl w:val="0"/>
          <w:numId w:val="16"/>
        </w:numPr>
        <w:spacing w:after="120"/>
        <w:ind w:hanging="720"/>
        <w:contextualSpacing w:val="0"/>
        <w:rPr>
          <w:rFonts w:ascii="Times New Roman" w:hAnsi="Times New Roman" w:cs="Times New Roman"/>
          <w:b/>
          <w:caps/>
        </w:rPr>
      </w:pPr>
      <w:r w:rsidRPr="006124BE">
        <w:rPr>
          <w:rFonts w:ascii="Times New Roman" w:hAnsi="Times New Roman" w:cs="Times New Roman"/>
          <w:u w:val="single"/>
        </w:rPr>
        <w:lastRenderedPageBreak/>
        <w:t>NSPS Applicability</w:t>
      </w:r>
    </w:p>
    <w:p w:rsidR="0030193B" w:rsidRDefault="002C66F8" w:rsidP="002C66F8">
      <w:pPr>
        <w:pStyle w:val="ListParagraph"/>
        <w:spacing w:after="120" w:line="240" w:lineRule="auto"/>
        <w:ind w:left="0"/>
        <w:contextualSpacing w:val="0"/>
        <w:rPr>
          <w:rFonts w:ascii="Times New Roman" w:hAnsi="Times New Roman" w:cs="Times New Roman"/>
        </w:rPr>
      </w:pPr>
      <w:r w:rsidRPr="008F5530">
        <w:rPr>
          <w:rFonts w:ascii="Times New Roman" w:hAnsi="Times New Roman" w:cs="Times New Roman"/>
        </w:rPr>
        <w:t xml:space="preserve">There are no NSPS that apply to </w:t>
      </w:r>
      <w:r>
        <w:rPr>
          <w:rFonts w:ascii="Times New Roman" w:hAnsi="Times New Roman" w:cs="Times New Roman"/>
        </w:rPr>
        <w:t>the burners used in the sulfuric acid plant</w:t>
      </w:r>
      <w:r w:rsidRPr="008F5530">
        <w:rPr>
          <w:rFonts w:ascii="Times New Roman" w:hAnsi="Times New Roman" w:cs="Times New Roman"/>
        </w:rPr>
        <w:t xml:space="preserve"> </w:t>
      </w:r>
      <w:r w:rsidRPr="007079BF">
        <w:rPr>
          <w:rFonts w:ascii="Times New Roman" w:hAnsi="Times New Roman" w:cs="Times New Roman"/>
        </w:rPr>
        <w:t>H</w:t>
      </w:r>
      <w:r w:rsidRPr="007079BF">
        <w:rPr>
          <w:rFonts w:ascii="Times New Roman" w:hAnsi="Times New Roman" w:cs="Times New Roman"/>
          <w:vertAlign w:val="subscript"/>
        </w:rPr>
        <w:t>2</w:t>
      </w:r>
      <w:r w:rsidRPr="007079BF">
        <w:rPr>
          <w:rFonts w:ascii="Times New Roman" w:hAnsi="Times New Roman" w:cs="Times New Roman"/>
        </w:rPr>
        <w:t xml:space="preserve">S </w:t>
      </w:r>
      <w:r>
        <w:rPr>
          <w:rFonts w:ascii="Times New Roman" w:hAnsi="Times New Roman" w:cs="Times New Roman"/>
        </w:rPr>
        <w:t xml:space="preserve">to </w:t>
      </w:r>
      <w:r w:rsidRPr="007079BF">
        <w:rPr>
          <w:rFonts w:ascii="Times New Roman" w:hAnsi="Times New Roman" w:cs="Times New Roman"/>
        </w:rPr>
        <w:t>SO</w:t>
      </w:r>
      <w:r w:rsidRPr="007079BF">
        <w:rPr>
          <w:rFonts w:ascii="Times New Roman" w:hAnsi="Times New Roman" w:cs="Times New Roman"/>
          <w:vertAlign w:val="subscript"/>
        </w:rPr>
        <w:t>2</w:t>
      </w:r>
      <w:r>
        <w:rPr>
          <w:rFonts w:ascii="Times New Roman" w:hAnsi="Times New Roman" w:cs="Times New Roman"/>
        </w:rPr>
        <w:t xml:space="preserve"> </w:t>
      </w:r>
      <w:r w:rsidRPr="007079BF">
        <w:rPr>
          <w:rFonts w:ascii="Times New Roman" w:hAnsi="Times New Roman" w:cs="Times New Roman"/>
        </w:rPr>
        <w:t>conversion</w:t>
      </w:r>
      <w:r w:rsidRPr="008F5530">
        <w:rPr>
          <w:rFonts w:ascii="Times New Roman" w:hAnsi="Times New Roman" w:cs="Times New Roman"/>
        </w:rPr>
        <w:t xml:space="preserve"> furnace</w:t>
      </w:r>
      <w:r>
        <w:rPr>
          <w:rFonts w:ascii="Times New Roman" w:hAnsi="Times New Roman" w:cs="Times New Roman"/>
        </w:rPr>
        <w:t>,</w:t>
      </w:r>
      <w:r w:rsidRPr="008F5530">
        <w:rPr>
          <w:rFonts w:ascii="Times New Roman" w:hAnsi="Times New Roman" w:cs="Times New Roman"/>
        </w:rPr>
        <w:t xml:space="preserve"> </w:t>
      </w:r>
      <w:r w:rsidR="00536EFF">
        <w:rPr>
          <w:rFonts w:ascii="Times New Roman" w:hAnsi="Times New Roman" w:cs="Times New Roman"/>
        </w:rPr>
        <w:t xml:space="preserve">the </w:t>
      </w:r>
      <w:r w:rsidRPr="007079BF">
        <w:rPr>
          <w:rFonts w:ascii="Times New Roman" w:hAnsi="Times New Roman" w:cs="Times New Roman"/>
        </w:rPr>
        <w:t>sulfuric acid plant SO</w:t>
      </w:r>
      <w:r w:rsidRPr="007079BF">
        <w:rPr>
          <w:rFonts w:ascii="Times New Roman" w:hAnsi="Times New Roman" w:cs="Times New Roman"/>
          <w:vertAlign w:val="subscript"/>
        </w:rPr>
        <w:t>2</w:t>
      </w:r>
      <w:r>
        <w:rPr>
          <w:rFonts w:ascii="Times New Roman" w:hAnsi="Times New Roman" w:cs="Times New Roman"/>
        </w:rPr>
        <w:t xml:space="preserve"> to </w:t>
      </w:r>
      <w:r w:rsidRPr="007079BF">
        <w:rPr>
          <w:rFonts w:ascii="Times New Roman" w:hAnsi="Times New Roman" w:cs="Times New Roman"/>
        </w:rPr>
        <w:t>SO</w:t>
      </w:r>
      <w:r w:rsidRPr="007079BF">
        <w:rPr>
          <w:rFonts w:ascii="Times New Roman" w:hAnsi="Times New Roman" w:cs="Times New Roman"/>
          <w:vertAlign w:val="subscript"/>
        </w:rPr>
        <w:t>3</w:t>
      </w:r>
      <w:r>
        <w:rPr>
          <w:rFonts w:ascii="Times New Roman" w:hAnsi="Times New Roman" w:cs="Times New Roman"/>
        </w:rPr>
        <w:t xml:space="preserve"> </w:t>
      </w:r>
      <w:r w:rsidRPr="007079BF">
        <w:rPr>
          <w:rFonts w:ascii="Times New Roman" w:hAnsi="Times New Roman" w:cs="Times New Roman"/>
        </w:rPr>
        <w:t>converter</w:t>
      </w:r>
      <w:r w:rsidRPr="008F5530">
        <w:rPr>
          <w:rFonts w:ascii="Times New Roman" w:hAnsi="Times New Roman" w:cs="Times New Roman"/>
        </w:rPr>
        <w:t xml:space="preserve"> p</w:t>
      </w:r>
      <w:r>
        <w:rPr>
          <w:rFonts w:ascii="Times New Roman" w:hAnsi="Times New Roman" w:cs="Times New Roman"/>
        </w:rPr>
        <w:t>reheater</w:t>
      </w:r>
      <w:r w:rsidR="00536EFF">
        <w:rPr>
          <w:rFonts w:ascii="Times New Roman" w:hAnsi="Times New Roman" w:cs="Times New Roman"/>
        </w:rPr>
        <w:t>,</w:t>
      </w:r>
      <w:r w:rsidRPr="008F5530">
        <w:rPr>
          <w:rFonts w:ascii="Times New Roman" w:hAnsi="Times New Roman" w:cs="Times New Roman"/>
        </w:rPr>
        <w:t xml:space="preserve"> </w:t>
      </w:r>
      <w:r>
        <w:rPr>
          <w:rFonts w:ascii="Times New Roman" w:hAnsi="Times New Roman" w:cs="Times New Roman"/>
        </w:rPr>
        <w:t>and</w:t>
      </w:r>
      <w:r w:rsidRPr="00B54A68">
        <w:rPr>
          <w:rFonts w:ascii="Times New Roman" w:hAnsi="Times New Roman" w:cs="Times New Roman"/>
        </w:rPr>
        <w:t xml:space="preserve"> the </w:t>
      </w:r>
      <w:r>
        <w:rPr>
          <w:rFonts w:ascii="Times New Roman" w:hAnsi="Times New Roman" w:cs="Times New Roman"/>
        </w:rPr>
        <w:t>solid fuel</w:t>
      </w:r>
      <w:r w:rsidRPr="00B54A68">
        <w:rPr>
          <w:rFonts w:ascii="Times New Roman" w:hAnsi="Times New Roman" w:cs="Times New Roman"/>
        </w:rPr>
        <w:t xml:space="preserve"> gasifier preheater</w:t>
      </w:r>
      <w:r>
        <w:rPr>
          <w:rFonts w:ascii="Times New Roman" w:hAnsi="Times New Roman" w:cs="Times New Roman"/>
        </w:rPr>
        <w:t xml:space="preserve">.  There are potentially </w:t>
      </w:r>
      <w:r w:rsidRPr="008F5530">
        <w:rPr>
          <w:rFonts w:ascii="Times New Roman" w:hAnsi="Times New Roman" w:cs="Times New Roman"/>
        </w:rPr>
        <w:t xml:space="preserve">NSPS </w:t>
      </w:r>
      <w:r>
        <w:rPr>
          <w:rFonts w:ascii="Times New Roman" w:hAnsi="Times New Roman" w:cs="Times New Roman"/>
        </w:rPr>
        <w:t xml:space="preserve">that are </w:t>
      </w:r>
      <w:r w:rsidRPr="008F5530">
        <w:rPr>
          <w:rFonts w:ascii="Times New Roman" w:hAnsi="Times New Roman" w:cs="Times New Roman"/>
        </w:rPr>
        <w:t xml:space="preserve">applicable </w:t>
      </w:r>
      <w:r>
        <w:rPr>
          <w:rFonts w:ascii="Times New Roman" w:hAnsi="Times New Roman" w:cs="Times New Roman"/>
        </w:rPr>
        <w:t xml:space="preserve">to the </w:t>
      </w:r>
      <w:r w:rsidR="00BC2743">
        <w:rPr>
          <w:rFonts w:ascii="Times New Roman" w:hAnsi="Times New Roman" w:cs="Times New Roman"/>
        </w:rPr>
        <w:t>CCCT</w:t>
      </w:r>
      <w:r>
        <w:rPr>
          <w:rFonts w:ascii="Times New Roman" w:hAnsi="Times New Roman" w:cs="Times New Roman"/>
        </w:rPr>
        <w:t xml:space="preserve"> and auxiliary boiler of</w:t>
      </w:r>
      <w:r w:rsidRPr="008F5530">
        <w:rPr>
          <w:rFonts w:ascii="Times New Roman" w:hAnsi="Times New Roman" w:cs="Times New Roman"/>
        </w:rPr>
        <w:t xml:space="preserve"> </w:t>
      </w:r>
      <w:r>
        <w:rPr>
          <w:rFonts w:ascii="Times New Roman" w:hAnsi="Times New Roman" w:cs="Times New Roman"/>
        </w:rPr>
        <w:t>Unit 1 after</w:t>
      </w:r>
      <w:r w:rsidRPr="008F5530">
        <w:rPr>
          <w:rFonts w:ascii="Times New Roman" w:hAnsi="Times New Roman" w:cs="Times New Roman"/>
        </w:rPr>
        <w:t xml:space="preserve"> the oil-to-natural gas conversion project</w:t>
      </w:r>
      <w:r>
        <w:rPr>
          <w:rFonts w:ascii="Times New Roman" w:hAnsi="Times New Roman" w:cs="Times New Roman"/>
        </w:rPr>
        <w:t>.  These NSPS are</w:t>
      </w:r>
      <w:r w:rsidRPr="008F5530">
        <w:rPr>
          <w:rFonts w:ascii="Times New Roman" w:hAnsi="Times New Roman" w:cs="Times New Roman"/>
        </w:rPr>
        <w:t xml:space="preserve"> discussed </w:t>
      </w:r>
      <w:r>
        <w:rPr>
          <w:rFonts w:ascii="Times New Roman" w:hAnsi="Times New Roman" w:cs="Times New Roman"/>
        </w:rPr>
        <w:t>below</w:t>
      </w:r>
      <w:r w:rsidRPr="008F5530">
        <w:rPr>
          <w:rFonts w:ascii="Times New Roman" w:hAnsi="Times New Roman" w:cs="Times New Roman"/>
        </w:rPr>
        <w:t>.</w:t>
      </w:r>
    </w:p>
    <w:p w:rsidR="002C66F8" w:rsidRPr="002C66F8" w:rsidRDefault="002C66F8" w:rsidP="00511785">
      <w:pPr>
        <w:pStyle w:val="ListParagraph"/>
        <w:numPr>
          <w:ilvl w:val="0"/>
          <w:numId w:val="17"/>
        </w:numPr>
        <w:spacing w:after="120"/>
        <w:ind w:hanging="720"/>
        <w:contextualSpacing w:val="0"/>
        <w:rPr>
          <w:rFonts w:ascii="Times New Roman" w:hAnsi="Times New Roman" w:cs="Times New Roman"/>
          <w:b/>
          <w:caps/>
        </w:rPr>
      </w:pPr>
      <w:r w:rsidRPr="006124BE">
        <w:rPr>
          <w:rFonts w:ascii="Times New Roman" w:hAnsi="Times New Roman" w:cs="Times New Roman"/>
          <w:i/>
        </w:rPr>
        <w:t>NSPS Subpart Da - Electric Utility Steam Generating Units</w:t>
      </w:r>
    </w:p>
    <w:p w:rsidR="002C66F8" w:rsidRPr="000A79CC" w:rsidRDefault="002C66F8" w:rsidP="002C66F8">
      <w:pPr>
        <w:pStyle w:val="ListParagraph"/>
        <w:spacing w:after="120" w:line="240" w:lineRule="auto"/>
        <w:ind w:left="0"/>
        <w:contextualSpacing w:val="0"/>
        <w:rPr>
          <w:rFonts w:ascii="Times New Roman" w:hAnsi="Times New Roman" w:cs="Times New Roman"/>
        </w:rPr>
      </w:pPr>
      <w:r w:rsidRPr="000A79CC">
        <w:rPr>
          <w:rFonts w:ascii="Times New Roman" w:hAnsi="Times New Roman" w:cs="Times New Roman"/>
        </w:rPr>
        <w:t xml:space="preserve">NSPS Subpart Da applies to electric utility steam generating units that commence construction, modification or reconstruction after September 18, 1978, and that are capable of combusting more than 250 MMBtu/hr heat input of fossil fuel. </w:t>
      </w:r>
      <w:r>
        <w:rPr>
          <w:rFonts w:ascii="Times New Roman" w:hAnsi="Times New Roman" w:cs="Times New Roman"/>
        </w:rPr>
        <w:t xml:space="preserve"> </w:t>
      </w:r>
      <w:r w:rsidRPr="000A79CC">
        <w:rPr>
          <w:rFonts w:ascii="Times New Roman" w:hAnsi="Times New Roman" w:cs="Times New Roman"/>
        </w:rPr>
        <w:t xml:space="preserve">IGCC electric utility steam generating unit (associated duct burners) are subject to Subpart Da </w:t>
      </w:r>
      <w:r w:rsidRPr="00BC2743">
        <w:rPr>
          <w:rFonts w:ascii="Times New Roman" w:hAnsi="Times New Roman" w:cs="Times New Roman"/>
        </w:rPr>
        <w:t>and are not subject to NSPS Subparts GG or KKKK</w:t>
      </w:r>
      <w:r w:rsidRPr="000A79CC">
        <w:rPr>
          <w:rFonts w:ascii="Times New Roman" w:hAnsi="Times New Roman" w:cs="Times New Roman"/>
        </w:rPr>
        <w:t xml:space="preserve"> if </w:t>
      </w:r>
      <w:r w:rsidRPr="000A79CC">
        <w:rPr>
          <w:rFonts w:ascii="Times New Roman" w:hAnsi="Times New Roman" w:cs="Times New Roman"/>
          <w:u w:val="single"/>
        </w:rPr>
        <w:t>both</w:t>
      </w:r>
      <w:r w:rsidRPr="000A79CC">
        <w:rPr>
          <w:rFonts w:ascii="Times New Roman" w:hAnsi="Times New Roman" w:cs="Times New Roman"/>
        </w:rPr>
        <w:t xml:space="preserve"> of the following conditions are met:</w:t>
      </w:r>
      <w:r>
        <w:rPr>
          <w:rFonts w:ascii="Times New Roman" w:hAnsi="Times New Roman" w:cs="Times New Roman"/>
        </w:rPr>
        <w:t xml:space="preserve">  t</w:t>
      </w:r>
      <w:r w:rsidRPr="000A79CC">
        <w:rPr>
          <w:rFonts w:ascii="Times New Roman" w:hAnsi="Times New Roman" w:cs="Times New Roman"/>
        </w:rPr>
        <w:t xml:space="preserve">he IGCC electric utility steam generating unit is capable of combusting more than 250 MMBtu/hr </w:t>
      </w:r>
      <w:r>
        <w:rPr>
          <w:rFonts w:ascii="Times New Roman" w:hAnsi="Times New Roman" w:cs="Times New Roman"/>
        </w:rPr>
        <w:t xml:space="preserve">of </w:t>
      </w:r>
      <w:r w:rsidRPr="000A79CC">
        <w:rPr>
          <w:rFonts w:ascii="Times New Roman" w:hAnsi="Times New Roman" w:cs="Times New Roman"/>
        </w:rPr>
        <w:t xml:space="preserve">heat input </w:t>
      </w:r>
      <w:r>
        <w:rPr>
          <w:rFonts w:ascii="Times New Roman" w:hAnsi="Times New Roman" w:cs="Times New Roman"/>
        </w:rPr>
        <w:t>from</w:t>
      </w:r>
      <w:r w:rsidRPr="000A79CC">
        <w:rPr>
          <w:rFonts w:ascii="Times New Roman" w:hAnsi="Times New Roman" w:cs="Times New Roman"/>
        </w:rPr>
        <w:t xml:space="preserve"> fossil fuel</w:t>
      </w:r>
      <w:r>
        <w:rPr>
          <w:rFonts w:ascii="Times New Roman" w:hAnsi="Times New Roman" w:cs="Times New Roman"/>
        </w:rPr>
        <w:t>s</w:t>
      </w:r>
      <w:r w:rsidRPr="000A79CC">
        <w:rPr>
          <w:rFonts w:ascii="Times New Roman" w:hAnsi="Times New Roman" w:cs="Times New Roman"/>
        </w:rPr>
        <w:t xml:space="preserve"> (either alone or in combination with any other fuel); and</w:t>
      </w:r>
      <w:r>
        <w:rPr>
          <w:rFonts w:ascii="Times New Roman" w:hAnsi="Times New Roman" w:cs="Times New Roman"/>
        </w:rPr>
        <w:t xml:space="preserve"> t</w:t>
      </w:r>
      <w:r w:rsidRPr="000A79CC">
        <w:rPr>
          <w:rFonts w:ascii="Times New Roman" w:hAnsi="Times New Roman" w:cs="Times New Roman"/>
        </w:rPr>
        <w:t>he IGCC electric utility steam generating unit commenced construction, modification, or reconstruction after February 28, 2005.</w:t>
      </w:r>
      <w:r>
        <w:rPr>
          <w:rFonts w:ascii="Times New Roman" w:hAnsi="Times New Roman" w:cs="Times New Roman"/>
        </w:rPr>
        <w:t xml:space="preserve">  </w:t>
      </w:r>
      <w:r w:rsidRPr="000A79CC">
        <w:rPr>
          <w:rFonts w:ascii="Times New Roman" w:hAnsi="Times New Roman" w:cs="Times New Roman"/>
        </w:rPr>
        <w:t xml:space="preserve">Unit 1 is capable of combusting more than 250 MMBtu/hr </w:t>
      </w:r>
      <w:r>
        <w:rPr>
          <w:rFonts w:ascii="Times New Roman" w:hAnsi="Times New Roman" w:cs="Times New Roman"/>
        </w:rPr>
        <w:t xml:space="preserve">of </w:t>
      </w:r>
      <w:r w:rsidRPr="000A79CC">
        <w:rPr>
          <w:rFonts w:ascii="Times New Roman" w:hAnsi="Times New Roman" w:cs="Times New Roman"/>
        </w:rPr>
        <w:t xml:space="preserve">heat input </w:t>
      </w:r>
      <w:r>
        <w:rPr>
          <w:rFonts w:ascii="Times New Roman" w:hAnsi="Times New Roman" w:cs="Times New Roman"/>
        </w:rPr>
        <w:t>from</w:t>
      </w:r>
      <w:r w:rsidRPr="000A79CC">
        <w:rPr>
          <w:rFonts w:ascii="Times New Roman" w:hAnsi="Times New Roman" w:cs="Times New Roman"/>
        </w:rPr>
        <w:t xml:space="preserve"> fossil fuel</w:t>
      </w:r>
      <w:r>
        <w:rPr>
          <w:rFonts w:ascii="Times New Roman" w:hAnsi="Times New Roman" w:cs="Times New Roman"/>
        </w:rPr>
        <w:t>s, but</w:t>
      </w:r>
      <w:r w:rsidRPr="000A79CC">
        <w:rPr>
          <w:rFonts w:ascii="Times New Roman" w:hAnsi="Times New Roman" w:cs="Times New Roman"/>
        </w:rPr>
        <w:t xml:space="preserve"> the planned changes to Unit 1 are not considered modifications pursuant to NSPS Subpart A</w:t>
      </w:r>
      <w:r>
        <w:rPr>
          <w:rFonts w:ascii="Times New Roman" w:hAnsi="Times New Roman" w:cs="Times New Roman"/>
        </w:rPr>
        <w:t xml:space="preserve">.  </w:t>
      </w:r>
      <w:r w:rsidRPr="000A79CC">
        <w:rPr>
          <w:rFonts w:ascii="Times New Roman" w:hAnsi="Times New Roman" w:cs="Times New Roman"/>
        </w:rPr>
        <w:t>Specifically, per NSPS Subpart A §60.14(e)(h) a change is not a considered a modification if:</w:t>
      </w:r>
    </w:p>
    <w:p w:rsidR="002C66F8" w:rsidRDefault="002C66F8" w:rsidP="00511785">
      <w:pPr>
        <w:pStyle w:val="ListParagraph"/>
        <w:spacing w:after="120" w:line="240" w:lineRule="auto"/>
        <w:ind w:left="0"/>
        <w:contextualSpacing w:val="0"/>
        <w:rPr>
          <w:rFonts w:ascii="Times New Roman" w:hAnsi="Times New Roman" w:cs="Times New Roman"/>
          <w:i/>
        </w:rPr>
      </w:pPr>
      <w:r w:rsidRPr="00511785">
        <w:rPr>
          <w:rFonts w:ascii="Times New Roman" w:hAnsi="Times New Roman" w:cs="Times New Roman"/>
          <w:i/>
        </w:rPr>
        <w:t xml:space="preserve">(h) No physical change, or change in the method of operation, at an existing electric utility steam generating unit shall be treated as a modification for the purposes of this section provided that such change does not increase the </w:t>
      </w:r>
      <w:r w:rsidRPr="00511785">
        <w:rPr>
          <w:rFonts w:ascii="Times New Roman" w:hAnsi="Times New Roman" w:cs="Times New Roman"/>
          <w:b/>
          <w:i/>
        </w:rPr>
        <w:t>maximum hourly emissions</w:t>
      </w:r>
      <w:r w:rsidRPr="00511785">
        <w:rPr>
          <w:rFonts w:ascii="Times New Roman" w:hAnsi="Times New Roman" w:cs="Times New Roman"/>
          <w:i/>
        </w:rPr>
        <w:t xml:space="preserve"> of any pollutant regulated under this section above the maximum hourly emissions achievable at that unit during the 5 years prior to the change.  </w:t>
      </w:r>
    </w:p>
    <w:p w:rsidR="009157EF" w:rsidRDefault="00511785" w:rsidP="00511785">
      <w:pPr>
        <w:spacing w:before="120" w:after="120"/>
        <w:rPr>
          <w:sz w:val="22"/>
          <w:szCs w:val="22"/>
        </w:rPr>
      </w:pPr>
      <w:r w:rsidRPr="00511785">
        <w:rPr>
          <w:sz w:val="22"/>
          <w:szCs w:val="22"/>
        </w:rPr>
        <w:t>Table 3 provides the applicant’s comparison of maximum hourly emission rates for PM, NO</w:t>
      </w:r>
      <w:r w:rsidRPr="00511785">
        <w:rPr>
          <w:sz w:val="22"/>
          <w:szCs w:val="22"/>
          <w:vertAlign w:val="subscript"/>
        </w:rPr>
        <w:t>X</w:t>
      </w:r>
      <w:r w:rsidRPr="00511785">
        <w:rPr>
          <w:sz w:val="22"/>
          <w:szCs w:val="22"/>
        </w:rPr>
        <w:t>, SO</w:t>
      </w:r>
      <w:r w:rsidRPr="00511785">
        <w:rPr>
          <w:sz w:val="22"/>
          <w:szCs w:val="22"/>
          <w:vertAlign w:val="subscript"/>
        </w:rPr>
        <w:t>2</w:t>
      </w:r>
      <w:r w:rsidRPr="00511785">
        <w:rPr>
          <w:sz w:val="22"/>
          <w:szCs w:val="22"/>
        </w:rPr>
        <w:t xml:space="preserve">, and Hg following the planned changes to Unit 1 to the maximum hourly rates that occurred during the past 5 years.  These are the pollutants that have NSPS Subpart Da emission standards.  As shown, no hourly increases in pollutant emissions are expected to occur as a result of this project.  Thus, according to the applicant, the natural gas conversion is not considered a modification with regard to NSPS applicability.  </w:t>
      </w:r>
    </w:p>
    <w:p w:rsidR="00511785" w:rsidRPr="00511785" w:rsidRDefault="00511785" w:rsidP="00511785">
      <w:pPr>
        <w:spacing w:before="120" w:after="120"/>
        <w:rPr>
          <w:rFonts w:ascii="Times New Roman Bold" w:hAnsi="Times New Roman Bold"/>
          <w:sz w:val="22"/>
          <w:szCs w:val="22"/>
        </w:rPr>
      </w:pPr>
      <w:r w:rsidRPr="00511785">
        <w:rPr>
          <w:rFonts w:ascii="Times New Roman Bold" w:hAnsi="Times New Roman Bold"/>
          <w:b/>
          <w:sz w:val="22"/>
        </w:rPr>
        <w:t xml:space="preserve">Table </w:t>
      </w:r>
      <w:r w:rsidR="00555EB5" w:rsidRPr="00511785">
        <w:rPr>
          <w:rFonts w:ascii="Times New Roman Bold" w:hAnsi="Times New Roman Bold"/>
          <w:b/>
          <w:sz w:val="22"/>
        </w:rPr>
        <w:fldChar w:fldCharType="begin"/>
      </w:r>
      <w:r w:rsidRPr="00511785">
        <w:rPr>
          <w:rFonts w:ascii="Times New Roman Bold" w:hAnsi="Times New Roman Bold"/>
          <w:b/>
          <w:sz w:val="22"/>
        </w:rPr>
        <w:instrText xml:space="preserve"> SEQ Table \* ARABIC </w:instrText>
      </w:r>
      <w:r w:rsidR="00555EB5" w:rsidRPr="00511785">
        <w:rPr>
          <w:rFonts w:ascii="Times New Roman Bold" w:hAnsi="Times New Roman Bold"/>
          <w:b/>
          <w:sz w:val="22"/>
        </w:rPr>
        <w:fldChar w:fldCharType="separate"/>
      </w:r>
      <w:r w:rsidRPr="00511785">
        <w:rPr>
          <w:rFonts w:ascii="Times New Roman Bold" w:hAnsi="Times New Roman Bold"/>
          <w:b/>
          <w:noProof/>
          <w:sz w:val="22"/>
        </w:rPr>
        <w:t>3</w:t>
      </w:r>
      <w:r w:rsidR="00555EB5" w:rsidRPr="00511785">
        <w:rPr>
          <w:rFonts w:ascii="Times New Roman Bold" w:hAnsi="Times New Roman Bold"/>
          <w:b/>
          <w:sz w:val="22"/>
        </w:rPr>
        <w:fldChar w:fldCharType="end"/>
      </w:r>
      <w:r w:rsidRPr="00511785">
        <w:rPr>
          <w:rFonts w:ascii="Times New Roman Bold" w:hAnsi="Times New Roman Bold"/>
          <w:sz w:val="22"/>
          <w:szCs w:val="22"/>
        </w:rPr>
        <w:t xml:space="preserve"> – Applicant’s Comparison of Unit 1 Maximum Hourly Emission Rates</w:t>
      </w:r>
    </w:p>
    <w:tbl>
      <w:tblPr>
        <w:tblStyle w:val="TableGrid"/>
        <w:tblW w:w="9900" w:type="dxa"/>
        <w:tblInd w:w="108" w:type="dxa"/>
        <w:tblBorders>
          <w:top w:val="single" w:sz="12" w:space="0" w:color="auto"/>
          <w:left w:val="single" w:sz="12" w:space="0" w:color="auto"/>
          <w:bottom w:val="single" w:sz="12" w:space="0" w:color="auto"/>
          <w:right w:val="single" w:sz="12" w:space="0" w:color="auto"/>
        </w:tblBorders>
        <w:tblLook w:val="04A0"/>
      </w:tblPr>
      <w:tblGrid>
        <w:gridCol w:w="3192"/>
        <w:gridCol w:w="3192"/>
        <w:gridCol w:w="3516"/>
      </w:tblGrid>
      <w:tr w:rsidR="00511785" w:rsidRPr="00511785" w:rsidTr="0088069E">
        <w:tc>
          <w:tcPr>
            <w:tcW w:w="3192" w:type="dxa"/>
            <w:tcBorders>
              <w:top w:val="single" w:sz="12" w:space="0" w:color="auto"/>
              <w:bottom w:val="single" w:sz="12" w:space="0" w:color="auto"/>
              <w:right w:val="single" w:sz="12" w:space="0" w:color="auto"/>
            </w:tcBorders>
            <w:vAlign w:val="center"/>
          </w:tcPr>
          <w:p w:rsidR="00511785" w:rsidRPr="00511785" w:rsidRDefault="00511785" w:rsidP="00511785">
            <w:pPr>
              <w:spacing w:before="40" w:after="40"/>
              <w:jc w:val="center"/>
              <w:rPr>
                <w:b/>
                <w:sz w:val="22"/>
                <w:szCs w:val="22"/>
              </w:rPr>
            </w:pPr>
            <w:r w:rsidRPr="00511785">
              <w:rPr>
                <w:b/>
                <w:sz w:val="22"/>
                <w:szCs w:val="22"/>
              </w:rPr>
              <w:t>Parameter</w:t>
            </w:r>
          </w:p>
        </w:tc>
        <w:tc>
          <w:tcPr>
            <w:tcW w:w="3192" w:type="dxa"/>
            <w:tcBorders>
              <w:top w:val="single" w:sz="12" w:space="0" w:color="auto"/>
              <w:left w:val="single" w:sz="12" w:space="0" w:color="auto"/>
              <w:bottom w:val="single" w:sz="12" w:space="0" w:color="auto"/>
              <w:right w:val="single" w:sz="12" w:space="0" w:color="auto"/>
            </w:tcBorders>
            <w:vAlign w:val="center"/>
          </w:tcPr>
          <w:p w:rsidR="00511785" w:rsidRPr="00511785" w:rsidRDefault="00511785" w:rsidP="00511785">
            <w:pPr>
              <w:spacing w:before="40" w:after="40"/>
              <w:jc w:val="center"/>
              <w:rPr>
                <w:b/>
                <w:sz w:val="22"/>
                <w:szCs w:val="22"/>
              </w:rPr>
            </w:pPr>
            <w:r w:rsidRPr="00511785">
              <w:rPr>
                <w:b/>
                <w:sz w:val="22"/>
                <w:szCs w:val="22"/>
              </w:rPr>
              <w:t>Past Actual Maximum Hourly Average (lbs/hr)</w:t>
            </w:r>
          </w:p>
        </w:tc>
        <w:tc>
          <w:tcPr>
            <w:tcW w:w="3516" w:type="dxa"/>
            <w:tcBorders>
              <w:top w:val="single" w:sz="12" w:space="0" w:color="auto"/>
              <w:left w:val="single" w:sz="12" w:space="0" w:color="auto"/>
              <w:bottom w:val="single" w:sz="12" w:space="0" w:color="auto"/>
            </w:tcBorders>
            <w:vAlign w:val="center"/>
          </w:tcPr>
          <w:p w:rsidR="00511785" w:rsidRPr="00511785" w:rsidRDefault="00511785" w:rsidP="00511785">
            <w:pPr>
              <w:spacing w:before="40" w:after="40"/>
              <w:jc w:val="center"/>
              <w:rPr>
                <w:b/>
                <w:sz w:val="22"/>
                <w:szCs w:val="22"/>
              </w:rPr>
            </w:pPr>
            <w:r w:rsidRPr="00511785">
              <w:rPr>
                <w:b/>
                <w:sz w:val="22"/>
                <w:szCs w:val="22"/>
              </w:rPr>
              <w:t>Future Actual Maximum Hourly Average (lbs/hr)</w:t>
            </w:r>
          </w:p>
        </w:tc>
      </w:tr>
      <w:tr w:rsidR="00511785" w:rsidRPr="00511785" w:rsidTr="0088069E">
        <w:tc>
          <w:tcPr>
            <w:tcW w:w="3192" w:type="dxa"/>
            <w:tcBorders>
              <w:top w:val="single" w:sz="12" w:space="0" w:color="auto"/>
              <w:bottom w:val="single" w:sz="4" w:space="0" w:color="auto"/>
              <w:right w:val="single" w:sz="12" w:space="0" w:color="auto"/>
            </w:tcBorders>
            <w:vAlign w:val="center"/>
          </w:tcPr>
          <w:p w:rsidR="00511785" w:rsidRPr="00511785" w:rsidRDefault="00511785" w:rsidP="00511785">
            <w:pPr>
              <w:spacing w:before="40" w:after="40"/>
              <w:jc w:val="center"/>
              <w:rPr>
                <w:sz w:val="22"/>
                <w:szCs w:val="22"/>
              </w:rPr>
            </w:pPr>
            <w:r w:rsidRPr="00511785">
              <w:rPr>
                <w:sz w:val="22"/>
                <w:szCs w:val="22"/>
              </w:rPr>
              <w:t>SO</w:t>
            </w:r>
            <w:r w:rsidRPr="00511785">
              <w:rPr>
                <w:sz w:val="22"/>
                <w:szCs w:val="22"/>
                <w:vertAlign w:val="subscript"/>
              </w:rPr>
              <w:t>2</w:t>
            </w:r>
          </w:p>
        </w:tc>
        <w:tc>
          <w:tcPr>
            <w:tcW w:w="3192" w:type="dxa"/>
            <w:tcBorders>
              <w:top w:val="single" w:sz="12" w:space="0" w:color="auto"/>
              <w:left w:val="single" w:sz="12" w:space="0" w:color="auto"/>
              <w:bottom w:val="single" w:sz="4" w:space="0" w:color="auto"/>
              <w:right w:val="single" w:sz="12" w:space="0" w:color="auto"/>
            </w:tcBorders>
            <w:vAlign w:val="center"/>
          </w:tcPr>
          <w:p w:rsidR="00511785" w:rsidRPr="00511785" w:rsidRDefault="00511785" w:rsidP="00511785">
            <w:pPr>
              <w:spacing w:before="40" w:after="40"/>
              <w:jc w:val="center"/>
              <w:rPr>
                <w:sz w:val="22"/>
                <w:szCs w:val="22"/>
              </w:rPr>
            </w:pPr>
            <w:r w:rsidRPr="00511785">
              <w:rPr>
                <w:sz w:val="22"/>
                <w:szCs w:val="22"/>
              </w:rPr>
              <w:t>848.8</w:t>
            </w:r>
          </w:p>
        </w:tc>
        <w:tc>
          <w:tcPr>
            <w:tcW w:w="3516" w:type="dxa"/>
            <w:tcBorders>
              <w:top w:val="single" w:sz="12" w:space="0" w:color="auto"/>
              <w:left w:val="single" w:sz="12" w:space="0" w:color="auto"/>
            </w:tcBorders>
            <w:vAlign w:val="center"/>
          </w:tcPr>
          <w:p w:rsidR="00511785" w:rsidRPr="00511785" w:rsidRDefault="00511785" w:rsidP="00511785">
            <w:pPr>
              <w:spacing w:before="40" w:after="40"/>
              <w:jc w:val="center"/>
              <w:rPr>
                <w:sz w:val="22"/>
                <w:szCs w:val="22"/>
              </w:rPr>
            </w:pPr>
            <w:r w:rsidRPr="00511785">
              <w:rPr>
                <w:sz w:val="22"/>
                <w:szCs w:val="22"/>
              </w:rPr>
              <w:t>309.3</w:t>
            </w:r>
          </w:p>
        </w:tc>
      </w:tr>
      <w:tr w:rsidR="00511785" w:rsidRPr="00511785" w:rsidTr="0088069E">
        <w:tc>
          <w:tcPr>
            <w:tcW w:w="3192" w:type="dxa"/>
            <w:tcBorders>
              <w:top w:val="single" w:sz="4" w:space="0" w:color="auto"/>
              <w:bottom w:val="single" w:sz="4" w:space="0" w:color="auto"/>
              <w:right w:val="single" w:sz="12" w:space="0" w:color="auto"/>
            </w:tcBorders>
            <w:vAlign w:val="center"/>
          </w:tcPr>
          <w:p w:rsidR="00511785" w:rsidRPr="00511785" w:rsidRDefault="00511785" w:rsidP="00511785">
            <w:pPr>
              <w:spacing w:before="40" w:after="40"/>
              <w:jc w:val="center"/>
              <w:rPr>
                <w:sz w:val="22"/>
                <w:szCs w:val="22"/>
              </w:rPr>
            </w:pPr>
            <w:r w:rsidRPr="00511785">
              <w:rPr>
                <w:sz w:val="22"/>
                <w:szCs w:val="22"/>
              </w:rPr>
              <w:t>NO</w:t>
            </w:r>
            <w:r w:rsidRPr="00511785">
              <w:rPr>
                <w:sz w:val="22"/>
                <w:szCs w:val="22"/>
                <w:vertAlign w:val="subscript"/>
              </w:rPr>
              <w:t>X</w:t>
            </w:r>
          </w:p>
        </w:tc>
        <w:tc>
          <w:tcPr>
            <w:tcW w:w="3192" w:type="dxa"/>
            <w:tcBorders>
              <w:top w:val="single" w:sz="4" w:space="0" w:color="auto"/>
              <w:left w:val="single" w:sz="12" w:space="0" w:color="auto"/>
              <w:bottom w:val="single" w:sz="4" w:space="0" w:color="auto"/>
              <w:right w:val="single" w:sz="12" w:space="0" w:color="auto"/>
            </w:tcBorders>
            <w:vAlign w:val="center"/>
          </w:tcPr>
          <w:p w:rsidR="00511785" w:rsidRPr="00511785" w:rsidRDefault="00511785" w:rsidP="00511785">
            <w:pPr>
              <w:spacing w:before="40" w:after="40"/>
              <w:jc w:val="center"/>
              <w:rPr>
                <w:sz w:val="22"/>
                <w:szCs w:val="22"/>
              </w:rPr>
            </w:pPr>
            <w:r w:rsidRPr="00511785">
              <w:rPr>
                <w:sz w:val="22"/>
                <w:szCs w:val="22"/>
              </w:rPr>
              <w:t>423.3</w:t>
            </w:r>
          </w:p>
        </w:tc>
        <w:tc>
          <w:tcPr>
            <w:tcW w:w="3516" w:type="dxa"/>
            <w:tcBorders>
              <w:left w:val="single" w:sz="12" w:space="0" w:color="auto"/>
            </w:tcBorders>
            <w:vAlign w:val="center"/>
          </w:tcPr>
          <w:p w:rsidR="00511785" w:rsidRPr="00511785" w:rsidRDefault="00511785" w:rsidP="00511785">
            <w:pPr>
              <w:spacing w:before="40" w:after="40"/>
              <w:jc w:val="center"/>
              <w:rPr>
                <w:sz w:val="22"/>
                <w:szCs w:val="22"/>
              </w:rPr>
            </w:pPr>
            <w:r w:rsidRPr="00511785">
              <w:rPr>
                <w:sz w:val="22"/>
                <w:szCs w:val="22"/>
              </w:rPr>
              <w:t>112.7</w:t>
            </w:r>
          </w:p>
        </w:tc>
      </w:tr>
      <w:tr w:rsidR="00511785" w:rsidRPr="00511785" w:rsidTr="0088069E">
        <w:tc>
          <w:tcPr>
            <w:tcW w:w="3192" w:type="dxa"/>
            <w:tcBorders>
              <w:top w:val="single" w:sz="4" w:space="0" w:color="auto"/>
              <w:bottom w:val="single" w:sz="4" w:space="0" w:color="auto"/>
              <w:right w:val="single" w:sz="12" w:space="0" w:color="auto"/>
            </w:tcBorders>
            <w:vAlign w:val="center"/>
          </w:tcPr>
          <w:p w:rsidR="00511785" w:rsidRPr="00511785" w:rsidRDefault="00511785" w:rsidP="00511785">
            <w:pPr>
              <w:spacing w:before="40" w:after="40"/>
              <w:jc w:val="center"/>
              <w:rPr>
                <w:sz w:val="22"/>
                <w:szCs w:val="22"/>
              </w:rPr>
            </w:pPr>
            <w:r w:rsidRPr="00511785">
              <w:rPr>
                <w:sz w:val="22"/>
                <w:szCs w:val="22"/>
              </w:rPr>
              <w:t>PM total</w:t>
            </w:r>
          </w:p>
        </w:tc>
        <w:tc>
          <w:tcPr>
            <w:tcW w:w="3192" w:type="dxa"/>
            <w:tcBorders>
              <w:top w:val="single" w:sz="4" w:space="0" w:color="auto"/>
              <w:left w:val="single" w:sz="12" w:space="0" w:color="auto"/>
              <w:bottom w:val="single" w:sz="4" w:space="0" w:color="auto"/>
              <w:right w:val="single" w:sz="12" w:space="0" w:color="auto"/>
            </w:tcBorders>
            <w:vAlign w:val="center"/>
          </w:tcPr>
          <w:p w:rsidR="00511785" w:rsidRPr="00511785" w:rsidRDefault="00511785" w:rsidP="00511785">
            <w:pPr>
              <w:spacing w:before="40" w:after="40"/>
              <w:jc w:val="center"/>
              <w:rPr>
                <w:sz w:val="22"/>
                <w:szCs w:val="22"/>
              </w:rPr>
            </w:pPr>
            <w:r w:rsidRPr="00511785">
              <w:rPr>
                <w:sz w:val="22"/>
                <w:szCs w:val="22"/>
              </w:rPr>
              <w:t>13.3</w:t>
            </w:r>
          </w:p>
        </w:tc>
        <w:tc>
          <w:tcPr>
            <w:tcW w:w="3516" w:type="dxa"/>
            <w:tcBorders>
              <w:left w:val="single" w:sz="12" w:space="0" w:color="auto"/>
            </w:tcBorders>
            <w:vAlign w:val="center"/>
          </w:tcPr>
          <w:p w:rsidR="00511785" w:rsidRPr="00511785" w:rsidRDefault="00511785" w:rsidP="00511785">
            <w:pPr>
              <w:spacing w:before="40" w:after="40"/>
              <w:jc w:val="center"/>
              <w:rPr>
                <w:sz w:val="22"/>
                <w:szCs w:val="22"/>
              </w:rPr>
            </w:pPr>
            <w:r w:rsidRPr="00511785">
              <w:rPr>
                <w:sz w:val="22"/>
                <w:szCs w:val="22"/>
              </w:rPr>
              <w:t>10.8</w:t>
            </w:r>
          </w:p>
        </w:tc>
      </w:tr>
      <w:tr w:rsidR="00511785" w:rsidRPr="00511785" w:rsidTr="0088069E">
        <w:tc>
          <w:tcPr>
            <w:tcW w:w="3192" w:type="dxa"/>
            <w:tcBorders>
              <w:top w:val="single" w:sz="4" w:space="0" w:color="auto"/>
              <w:bottom w:val="single" w:sz="12" w:space="0" w:color="auto"/>
              <w:right w:val="single" w:sz="12" w:space="0" w:color="auto"/>
            </w:tcBorders>
            <w:vAlign w:val="center"/>
          </w:tcPr>
          <w:p w:rsidR="00511785" w:rsidRPr="00511785" w:rsidRDefault="00511785" w:rsidP="00511785">
            <w:pPr>
              <w:spacing w:before="40" w:after="40"/>
              <w:jc w:val="center"/>
              <w:rPr>
                <w:sz w:val="22"/>
                <w:szCs w:val="22"/>
              </w:rPr>
            </w:pPr>
            <w:r w:rsidRPr="00511785">
              <w:rPr>
                <w:sz w:val="22"/>
                <w:szCs w:val="22"/>
              </w:rPr>
              <w:t>Hg</w:t>
            </w:r>
          </w:p>
        </w:tc>
        <w:tc>
          <w:tcPr>
            <w:tcW w:w="3192" w:type="dxa"/>
            <w:tcBorders>
              <w:top w:val="single" w:sz="4" w:space="0" w:color="auto"/>
              <w:left w:val="single" w:sz="12" w:space="0" w:color="auto"/>
              <w:bottom w:val="single" w:sz="12" w:space="0" w:color="auto"/>
              <w:right w:val="single" w:sz="12" w:space="0" w:color="auto"/>
            </w:tcBorders>
            <w:vAlign w:val="center"/>
          </w:tcPr>
          <w:p w:rsidR="00511785" w:rsidRPr="00511785" w:rsidRDefault="00511785" w:rsidP="00511785">
            <w:pPr>
              <w:spacing w:before="40" w:after="40"/>
              <w:jc w:val="center"/>
              <w:rPr>
                <w:sz w:val="22"/>
                <w:szCs w:val="22"/>
              </w:rPr>
            </w:pPr>
            <w:r w:rsidRPr="00511785">
              <w:rPr>
                <w:sz w:val="22"/>
                <w:szCs w:val="22"/>
              </w:rPr>
              <w:t>0.003</w:t>
            </w:r>
          </w:p>
        </w:tc>
        <w:tc>
          <w:tcPr>
            <w:tcW w:w="3516" w:type="dxa"/>
            <w:tcBorders>
              <w:left w:val="single" w:sz="12" w:space="0" w:color="auto"/>
            </w:tcBorders>
            <w:vAlign w:val="center"/>
          </w:tcPr>
          <w:p w:rsidR="00511785" w:rsidRPr="00511785" w:rsidRDefault="00511785" w:rsidP="00511785">
            <w:pPr>
              <w:spacing w:before="40" w:after="40"/>
              <w:jc w:val="center"/>
              <w:rPr>
                <w:sz w:val="22"/>
                <w:szCs w:val="22"/>
              </w:rPr>
            </w:pPr>
            <w:r w:rsidRPr="00511785">
              <w:rPr>
                <w:sz w:val="22"/>
                <w:szCs w:val="22"/>
              </w:rPr>
              <w:t>0.002</w:t>
            </w:r>
          </w:p>
        </w:tc>
      </w:tr>
    </w:tbl>
    <w:p w:rsidR="00511785" w:rsidRPr="00511785" w:rsidRDefault="00511785" w:rsidP="00511785">
      <w:pPr>
        <w:spacing w:before="120" w:after="120"/>
        <w:rPr>
          <w:rFonts w:eastAsiaTheme="minorHAnsi"/>
          <w:sz w:val="22"/>
          <w:szCs w:val="22"/>
        </w:rPr>
      </w:pPr>
      <w:r w:rsidRPr="00511785">
        <w:rPr>
          <w:rFonts w:eastAsiaTheme="minorHAnsi"/>
          <w:sz w:val="22"/>
          <w:szCs w:val="22"/>
        </w:rPr>
        <w:t xml:space="preserve">The Department agrees that the conversion to natural gas should not result in any hourly increases in pollutant emissions when compared to firing No. 2 fuel oil in the </w:t>
      </w:r>
      <w:r w:rsidR="00BC2743">
        <w:rPr>
          <w:rFonts w:eastAsiaTheme="minorHAnsi"/>
          <w:sz w:val="22"/>
          <w:szCs w:val="22"/>
        </w:rPr>
        <w:t>CCCT</w:t>
      </w:r>
      <w:r w:rsidRPr="00511785">
        <w:rPr>
          <w:rFonts w:eastAsiaTheme="minorHAnsi"/>
          <w:sz w:val="22"/>
          <w:szCs w:val="22"/>
        </w:rPr>
        <w:t xml:space="preserve"> of Unit 1.  Consequently, the Department agrees with the applicant that the oil-to-natural gas conversion project does not constitute a modification under NSPS rules.</w:t>
      </w:r>
    </w:p>
    <w:p w:rsidR="00511785" w:rsidRPr="00511785" w:rsidRDefault="00511785" w:rsidP="00511785">
      <w:pPr>
        <w:pStyle w:val="ListParagraph"/>
        <w:numPr>
          <w:ilvl w:val="0"/>
          <w:numId w:val="18"/>
        </w:numPr>
        <w:spacing w:after="120"/>
        <w:ind w:hanging="720"/>
        <w:contextualSpacing w:val="0"/>
        <w:rPr>
          <w:rFonts w:ascii="Times New Roman" w:hAnsi="Times New Roman" w:cs="Times New Roman"/>
          <w:b/>
          <w:caps/>
        </w:rPr>
      </w:pPr>
      <w:r w:rsidRPr="006124BE">
        <w:rPr>
          <w:rFonts w:ascii="Times New Roman" w:hAnsi="Times New Roman" w:cs="Times New Roman"/>
          <w:i/>
        </w:rPr>
        <w:t xml:space="preserve">NSPS </w:t>
      </w:r>
      <w:r>
        <w:rPr>
          <w:rFonts w:ascii="Times New Roman" w:hAnsi="Times New Roman" w:cs="Times New Roman"/>
          <w:i/>
        </w:rPr>
        <w:t>Applicable to</w:t>
      </w:r>
      <w:r w:rsidRPr="006124BE">
        <w:rPr>
          <w:rFonts w:ascii="Times New Roman" w:hAnsi="Times New Roman" w:cs="Times New Roman"/>
          <w:i/>
        </w:rPr>
        <w:t xml:space="preserve"> Stationary Gas Turbines</w:t>
      </w:r>
    </w:p>
    <w:p w:rsidR="00511785" w:rsidRDefault="00511785" w:rsidP="00511785">
      <w:pPr>
        <w:pStyle w:val="ListParagraph"/>
        <w:spacing w:after="120" w:line="240" w:lineRule="auto"/>
        <w:ind w:left="0"/>
        <w:contextualSpacing w:val="0"/>
        <w:rPr>
          <w:rFonts w:ascii="Times New Roman" w:hAnsi="Times New Roman" w:cs="Times New Roman"/>
        </w:rPr>
      </w:pPr>
      <w:r w:rsidRPr="00283630">
        <w:rPr>
          <w:rFonts w:ascii="Times New Roman" w:hAnsi="Times New Roman" w:cs="Times New Roman"/>
        </w:rPr>
        <w:t xml:space="preserve">NSPS Subpart GG applies to stationary gas turbines that commence construction, modification or reconstruction after October 3, 1977, and that have a heat input at peak load equal to </w:t>
      </w:r>
      <w:r>
        <w:rPr>
          <w:rFonts w:ascii="Times New Roman" w:hAnsi="Times New Roman" w:cs="Times New Roman"/>
        </w:rPr>
        <w:t xml:space="preserve">or </w:t>
      </w:r>
      <w:r w:rsidRPr="00283630">
        <w:rPr>
          <w:rFonts w:ascii="Times New Roman" w:hAnsi="Times New Roman" w:cs="Times New Roman"/>
        </w:rPr>
        <w:t xml:space="preserve">greater than 10 MMBtu/hr. </w:t>
      </w:r>
      <w:r>
        <w:rPr>
          <w:rFonts w:ascii="Times New Roman" w:hAnsi="Times New Roman" w:cs="Times New Roman"/>
        </w:rPr>
        <w:t xml:space="preserve"> The </w:t>
      </w:r>
      <w:r w:rsidR="00BC2743">
        <w:rPr>
          <w:rFonts w:ascii="Times New Roman" w:hAnsi="Times New Roman" w:cs="Times New Roman"/>
        </w:rPr>
        <w:t>CCCT</w:t>
      </w:r>
      <w:r>
        <w:rPr>
          <w:rFonts w:ascii="Times New Roman" w:hAnsi="Times New Roman" w:cs="Times New Roman"/>
        </w:rPr>
        <w:t xml:space="preserve"> of </w:t>
      </w:r>
      <w:r w:rsidRPr="00283630">
        <w:rPr>
          <w:rFonts w:ascii="Times New Roman" w:hAnsi="Times New Roman" w:cs="Times New Roman"/>
        </w:rPr>
        <w:t xml:space="preserve">Unit </w:t>
      </w:r>
      <w:r w:rsidR="00536EFF">
        <w:rPr>
          <w:rFonts w:ascii="Times New Roman" w:hAnsi="Times New Roman" w:cs="Times New Roman"/>
        </w:rPr>
        <w:t xml:space="preserve">1 </w:t>
      </w:r>
      <w:r w:rsidRPr="00283630">
        <w:rPr>
          <w:rFonts w:ascii="Times New Roman" w:hAnsi="Times New Roman" w:cs="Times New Roman"/>
        </w:rPr>
        <w:t xml:space="preserve">was constructed after October 3, 1977 and has a heat input at peak load greater than 10 MMBtu/hr. </w:t>
      </w:r>
      <w:r>
        <w:rPr>
          <w:rFonts w:ascii="Times New Roman" w:hAnsi="Times New Roman" w:cs="Times New Roman"/>
        </w:rPr>
        <w:t xml:space="preserve"> </w:t>
      </w:r>
      <w:r w:rsidRPr="00283630">
        <w:rPr>
          <w:rFonts w:ascii="Times New Roman" w:hAnsi="Times New Roman" w:cs="Times New Roman"/>
        </w:rPr>
        <w:t>Unit 1 will therefore remain subject to NSPS</w:t>
      </w:r>
      <w:r w:rsidRPr="00283630">
        <w:t xml:space="preserve"> </w:t>
      </w:r>
      <w:r w:rsidRPr="00283630">
        <w:rPr>
          <w:rFonts w:ascii="Times New Roman" w:hAnsi="Times New Roman" w:cs="Times New Roman"/>
        </w:rPr>
        <w:t xml:space="preserve">Subpart GG following the use of natural gas instead of No. 2 fuel oil as a back-up fuel and the addition of natural gas </w:t>
      </w:r>
      <w:r>
        <w:rPr>
          <w:rFonts w:ascii="Times New Roman" w:hAnsi="Times New Roman" w:cs="Times New Roman"/>
        </w:rPr>
        <w:t xml:space="preserve">as an </w:t>
      </w:r>
      <w:r w:rsidRPr="00283630">
        <w:rPr>
          <w:rFonts w:ascii="Times New Roman" w:hAnsi="Times New Roman" w:cs="Times New Roman"/>
        </w:rPr>
        <w:lastRenderedPageBreak/>
        <w:t>augmentation</w:t>
      </w:r>
      <w:r>
        <w:rPr>
          <w:rFonts w:ascii="Times New Roman" w:hAnsi="Times New Roman" w:cs="Times New Roman"/>
        </w:rPr>
        <w:t xml:space="preserve"> fuel</w:t>
      </w:r>
      <w:r w:rsidRPr="00283630">
        <w:rPr>
          <w:rFonts w:ascii="Times New Roman" w:hAnsi="Times New Roman" w:cs="Times New Roman"/>
        </w:rPr>
        <w:t>.  The NSPS Subpart GG emission standards for NO</w:t>
      </w:r>
      <w:r w:rsidRPr="00283630">
        <w:rPr>
          <w:rFonts w:ascii="Times New Roman" w:hAnsi="Times New Roman" w:cs="Times New Roman"/>
          <w:vertAlign w:val="subscript"/>
        </w:rPr>
        <w:t>X</w:t>
      </w:r>
      <w:r w:rsidRPr="00283630">
        <w:rPr>
          <w:rFonts w:ascii="Times New Roman" w:hAnsi="Times New Roman" w:cs="Times New Roman"/>
        </w:rPr>
        <w:t xml:space="preserve"> and SO</w:t>
      </w:r>
      <w:r w:rsidRPr="00283630">
        <w:rPr>
          <w:rFonts w:ascii="Times New Roman" w:hAnsi="Times New Roman" w:cs="Times New Roman"/>
          <w:vertAlign w:val="subscript"/>
        </w:rPr>
        <w:t>2</w:t>
      </w:r>
      <w:r w:rsidRPr="00283630">
        <w:rPr>
          <w:rFonts w:ascii="Times New Roman" w:hAnsi="Times New Roman" w:cs="Times New Roman"/>
        </w:rPr>
        <w:t xml:space="preserve"> are not fuel specific and will therefore remain unchanged for Unit 1.</w:t>
      </w:r>
    </w:p>
    <w:p w:rsidR="00511785" w:rsidRDefault="00511785" w:rsidP="00511785">
      <w:pPr>
        <w:pStyle w:val="ListParagraph"/>
        <w:spacing w:after="120" w:line="240" w:lineRule="auto"/>
        <w:ind w:left="0"/>
        <w:contextualSpacing w:val="0"/>
        <w:rPr>
          <w:rFonts w:ascii="Times New Roman" w:hAnsi="Times New Roman" w:cs="Times New Roman"/>
        </w:rPr>
      </w:pPr>
      <w:r w:rsidRPr="00283630">
        <w:rPr>
          <w:rFonts w:ascii="Times New Roman" w:hAnsi="Times New Roman" w:cs="Times New Roman"/>
        </w:rPr>
        <w:t xml:space="preserve">NSPS Subpart KKKK applies to stationary combustion turbines that commence construction, modification or reconstruction after February 18, 2005, and that have a heat input at peak load equal to greater than 10 MMBtu/hr. </w:t>
      </w:r>
      <w:r>
        <w:rPr>
          <w:rFonts w:ascii="Times New Roman" w:hAnsi="Times New Roman" w:cs="Times New Roman"/>
        </w:rPr>
        <w:t xml:space="preserve"> </w:t>
      </w:r>
      <w:r w:rsidRPr="00283630">
        <w:rPr>
          <w:rFonts w:ascii="Times New Roman" w:hAnsi="Times New Roman" w:cs="Times New Roman"/>
        </w:rPr>
        <w:t xml:space="preserve">The </w:t>
      </w:r>
      <w:r w:rsidR="00BC2743">
        <w:rPr>
          <w:rFonts w:ascii="Times New Roman" w:hAnsi="Times New Roman" w:cs="Times New Roman"/>
        </w:rPr>
        <w:t>CCCT</w:t>
      </w:r>
      <w:r>
        <w:rPr>
          <w:rFonts w:ascii="Times New Roman" w:hAnsi="Times New Roman" w:cs="Times New Roman"/>
        </w:rPr>
        <w:t xml:space="preserve"> of </w:t>
      </w:r>
      <w:r w:rsidRPr="00283630">
        <w:rPr>
          <w:rFonts w:ascii="Times New Roman" w:hAnsi="Times New Roman" w:cs="Times New Roman"/>
        </w:rPr>
        <w:t xml:space="preserve">Unit 1 has a heat input at peak load greater than 10 MMBtu/hr. However, as previously discussed, the planned changes to Unit 1 do not constitute a </w:t>
      </w:r>
      <w:r w:rsidRPr="00283630">
        <w:rPr>
          <w:rFonts w:ascii="Times New Roman" w:hAnsi="Times New Roman" w:cs="Times New Roman"/>
          <w:i/>
        </w:rPr>
        <w:t>modification</w:t>
      </w:r>
      <w:r w:rsidRPr="00283630">
        <w:rPr>
          <w:rFonts w:ascii="Times New Roman" w:hAnsi="Times New Roman" w:cs="Times New Roman"/>
        </w:rPr>
        <w:t xml:space="preserve"> or </w:t>
      </w:r>
      <w:r w:rsidRPr="00283630">
        <w:rPr>
          <w:rFonts w:ascii="Times New Roman" w:hAnsi="Times New Roman" w:cs="Times New Roman"/>
          <w:i/>
        </w:rPr>
        <w:t>reconstruction</w:t>
      </w:r>
      <w:r w:rsidRPr="00283630">
        <w:rPr>
          <w:rFonts w:ascii="Times New Roman" w:hAnsi="Times New Roman" w:cs="Times New Roman"/>
        </w:rPr>
        <w:t xml:space="preserve"> as defined by NSPS Subpart A</w:t>
      </w:r>
      <w:r>
        <w:rPr>
          <w:rFonts w:ascii="Times New Roman" w:hAnsi="Times New Roman" w:cs="Times New Roman"/>
        </w:rPr>
        <w:t xml:space="preserve">.  Consequently, Subpart KKKK does not apply to the </w:t>
      </w:r>
      <w:r w:rsidR="00BC2743">
        <w:rPr>
          <w:rFonts w:ascii="Times New Roman" w:hAnsi="Times New Roman" w:cs="Times New Roman"/>
        </w:rPr>
        <w:t>CCCT</w:t>
      </w:r>
      <w:r>
        <w:rPr>
          <w:rFonts w:ascii="Times New Roman" w:hAnsi="Times New Roman" w:cs="Times New Roman"/>
        </w:rPr>
        <w:t>.</w:t>
      </w:r>
    </w:p>
    <w:p w:rsidR="00511785" w:rsidRPr="00DA04BF" w:rsidRDefault="00DA04BF" w:rsidP="00DA04BF">
      <w:pPr>
        <w:pStyle w:val="ListParagraph"/>
        <w:numPr>
          <w:ilvl w:val="0"/>
          <w:numId w:val="19"/>
        </w:numPr>
        <w:spacing w:after="120"/>
        <w:ind w:hanging="720"/>
        <w:contextualSpacing w:val="0"/>
        <w:rPr>
          <w:rFonts w:ascii="Times New Roman" w:hAnsi="Times New Roman" w:cs="Times New Roman"/>
          <w:b/>
          <w:caps/>
        </w:rPr>
      </w:pPr>
      <w:r w:rsidRPr="006124BE">
        <w:rPr>
          <w:rFonts w:ascii="Times New Roman" w:hAnsi="Times New Roman" w:cs="Times New Roman"/>
          <w:i/>
        </w:rPr>
        <w:t>NSPS Subpart Db</w:t>
      </w:r>
      <w:r>
        <w:rPr>
          <w:rFonts w:ascii="Times New Roman" w:hAnsi="Times New Roman" w:cs="Times New Roman"/>
          <w:i/>
        </w:rPr>
        <w:t xml:space="preserve"> - </w:t>
      </w:r>
      <w:r w:rsidRPr="006124BE">
        <w:rPr>
          <w:rFonts w:ascii="Times New Roman" w:hAnsi="Times New Roman" w:cs="Times New Roman"/>
          <w:i/>
        </w:rPr>
        <w:t>Industrial-Commercial-Institutional Steam Generating Units</w:t>
      </w:r>
    </w:p>
    <w:p w:rsidR="00DA04BF" w:rsidRPr="009E5A7E" w:rsidRDefault="00DA04BF" w:rsidP="00DA04BF">
      <w:pPr>
        <w:pStyle w:val="ListParagraph"/>
        <w:spacing w:after="120" w:line="240" w:lineRule="auto"/>
        <w:ind w:left="0"/>
        <w:contextualSpacing w:val="0"/>
        <w:rPr>
          <w:rFonts w:ascii="Times New Roman" w:hAnsi="Times New Roman" w:cs="Times New Roman"/>
        </w:rPr>
      </w:pPr>
      <w:r w:rsidRPr="009E5A7E">
        <w:rPr>
          <w:rFonts w:ascii="Times New Roman" w:hAnsi="Times New Roman" w:cs="Times New Roman"/>
        </w:rPr>
        <w:t xml:space="preserve">NSPS Subpart Db applies to steam generating units that commence construction, modification or reconstruction after June 19, 1984, and that have a heat input capacity greater than 100 MMBtu/hr heat input of fossil fuel. </w:t>
      </w:r>
      <w:r>
        <w:rPr>
          <w:rFonts w:ascii="Times New Roman" w:hAnsi="Times New Roman" w:cs="Times New Roman"/>
        </w:rPr>
        <w:t>According to the applicant, t</w:t>
      </w:r>
      <w:r w:rsidRPr="009E5A7E">
        <w:rPr>
          <w:rFonts w:ascii="Times New Roman" w:hAnsi="Times New Roman" w:cs="Times New Roman"/>
        </w:rPr>
        <w:t xml:space="preserve">he auxiliary boiler was constructed after June 19, 1984 and has a heat input greater than 100 MMBtu/hr. </w:t>
      </w:r>
      <w:r>
        <w:rPr>
          <w:rFonts w:ascii="Times New Roman" w:hAnsi="Times New Roman" w:cs="Times New Roman"/>
        </w:rPr>
        <w:t xml:space="preserve"> </w:t>
      </w:r>
      <w:r w:rsidRPr="009E5A7E">
        <w:rPr>
          <w:rFonts w:ascii="Times New Roman" w:hAnsi="Times New Roman" w:cs="Times New Roman"/>
        </w:rPr>
        <w:t>The auxiliary boiler will therefore remain subject to NSPS Subpart Db following its conversion to natural gas.</w:t>
      </w:r>
    </w:p>
    <w:p w:rsidR="00511785" w:rsidRDefault="00DA04BF" w:rsidP="00DA04BF">
      <w:pPr>
        <w:pStyle w:val="ListParagraph"/>
        <w:spacing w:after="120" w:line="240" w:lineRule="auto"/>
        <w:ind w:left="0"/>
        <w:contextualSpacing w:val="0"/>
        <w:rPr>
          <w:rFonts w:ascii="Times New Roman" w:hAnsi="Times New Roman" w:cs="Times New Roman"/>
        </w:rPr>
      </w:pPr>
      <w:r w:rsidRPr="009E5A7E">
        <w:rPr>
          <w:rFonts w:ascii="Times New Roman" w:hAnsi="Times New Roman" w:cs="Times New Roman"/>
        </w:rPr>
        <w:t>The only applicable NSPS Subpart Db emission standard for natural gas</w:t>
      </w:r>
      <w:r>
        <w:rPr>
          <w:rFonts w:ascii="Times New Roman" w:hAnsi="Times New Roman" w:cs="Times New Roman"/>
        </w:rPr>
        <w:t xml:space="preserve"> </w:t>
      </w:r>
      <w:r w:rsidRPr="009E5A7E">
        <w:rPr>
          <w:rFonts w:ascii="Times New Roman" w:hAnsi="Times New Roman" w:cs="Times New Roman"/>
        </w:rPr>
        <w:t>fired units is a NO</w:t>
      </w:r>
      <w:r>
        <w:rPr>
          <w:rFonts w:ascii="Times New Roman" w:hAnsi="Times New Roman" w:cs="Times New Roman"/>
          <w:vertAlign w:val="subscript"/>
        </w:rPr>
        <w:t>X</w:t>
      </w:r>
      <w:r w:rsidRPr="009E5A7E">
        <w:rPr>
          <w:rFonts w:ascii="Times New Roman" w:hAnsi="Times New Roman" w:cs="Times New Roman"/>
        </w:rPr>
        <w:t xml:space="preserve"> emission limit of 0.10 lb/MMBtu for low heat release rate boilers. </w:t>
      </w:r>
      <w:r>
        <w:rPr>
          <w:rFonts w:ascii="Times New Roman" w:hAnsi="Times New Roman" w:cs="Times New Roman"/>
        </w:rPr>
        <w:t xml:space="preserve"> </w:t>
      </w:r>
      <w:r w:rsidRPr="009E5A7E">
        <w:rPr>
          <w:rFonts w:ascii="Times New Roman" w:hAnsi="Times New Roman" w:cs="Times New Roman"/>
        </w:rPr>
        <w:t>Low heat release rate is defined by NSPS Subpart Db as heat release rate of 70,000 Btu/hr-ft</w:t>
      </w:r>
      <w:r w:rsidRPr="009E5A7E">
        <w:rPr>
          <w:rFonts w:ascii="Times New Roman" w:hAnsi="Times New Roman" w:cs="Times New Roman"/>
          <w:vertAlign w:val="superscript"/>
        </w:rPr>
        <w:t>2</w:t>
      </w:r>
      <w:r w:rsidRPr="009E5A7E">
        <w:rPr>
          <w:rFonts w:ascii="Times New Roman" w:hAnsi="Times New Roman" w:cs="Times New Roman"/>
        </w:rPr>
        <w:t xml:space="preserve"> or less. </w:t>
      </w:r>
      <w:r>
        <w:rPr>
          <w:rFonts w:ascii="Times New Roman" w:hAnsi="Times New Roman" w:cs="Times New Roman"/>
        </w:rPr>
        <w:t xml:space="preserve"> According to the applicant, t</w:t>
      </w:r>
      <w:r w:rsidRPr="009E5A7E">
        <w:rPr>
          <w:rFonts w:ascii="Times New Roman" w:hAnsi="Times New Roman" w:cs="Times New Roman"/>
        </w:rPr>
        <w:t>he auxiliary boiler will remain a low heat release rate unit following its conversion to natural gas fuel.</w:t>
      </w:r>
      <w:r>
        <w:rPr>
          <w:rFonts w:ascii="Times New Roman" w:hAnsi="Times New Roman" w:cs="Times New Roman"/>
        </w:rPr>
        <w:t xml:space="preserve">  Consequently, the current permitted NO</w:t>
      </w:r>
      <w:r w:rsidRPr="00E018D7">
        <w:rPr>
          <w:rFonts w:ascii="Times New Roman" w:hAnsi="Times New Roman" w:cs="Times New Roman"/>
          <w:vertAlign w:val="subscript"/>
        </w:rPr>
        <w:t>X</w:t>
      </w:r>
      <w:r>
        <w:rPr>
          <w:rFonts w:ascii="Times New Roman" w:hAnsi="Times New Roman" w:cs="Times New Roman"/>
        </w:rPr>
        <w:t xml:space="preserve"> emission limit of 0.10 lb NO</w:t>
      </w:r>
      <w:r w:rsidRPr="00E018D7">
        <w:rPr>
          <w:rFonts w:ascii="Times New Roman" w:hAnsi="Times New Roman" w:cs="Times New Roman"/>
          <w:vertAlign w:val="subscript"/>
        </w:rPr>
        <w:t>X</w:t>
      </w:r>
      <w:r>
        <w:rPr>
          <w:rFonts w:ascii="Times New Roman" w:hAnsi="Times New Roman" w:cs="Times New Roman"/>
        </w:rPr>
        <w:t>/MMBtu is for the auxiliary boiler will not change as a result of this permitting action.</w:t>
      </w:r>
    </w:p>
    <w:p w:rsidR="00DA04BF" w:rsidRPr="005520A0" w:rsidRDefault="005520A0" w:rsidP="000F14B7">
      <w:pPr>
        <w:pStyle w:val="ListParagraph"/>
        <w:widowControl w:val="0"/>
        <w:numPr>
          <w:ilvl w:val="0"/>
          <w:numId w:val="20"/>
        </w:numPr>
        <w:spacing w:after="120"/>
        <w:ind w:hanging="720"/>
        <w:contextualSpacing w:val="0"/>
        <w:rPr>
          <w:rFonts w:ascii="Times New Roman" w:hAnsi="Times New Roman" w:cs="Times New Roman"/>
          <w:b/>
          <w:caps/>
        </w:rPr>
      </w:pPr>
      <w:r>
        <w:rPr>
          <w:rFonts w:ascii="Times New Roman" w:hAnsi="Times New Roman" w:cs="Times New Roman"/>
          <w:u w:val="single"/>
        </w:rPr>
        <w:t>NESHAP Applicability</w:t>
      </w:r>
    </w:p>
    <w:p w:rsidR="003B6828" w:rsidRDefault="005520A0" w:rsidP="000F14B7">
      <w:pPr>
        <w:pStyle w:val="ListParagraph"/>
        <w:widowControl w:val="0"/>
        <w:spacing w:after="120" w:line="240" w:lineRule="auto"/>
        <w:ind w:left="0"/>
        <w:contextualSpacing w:val="0"/>
      </w:pPr>
      <w:r w:rsidRPr="002F11CE">
        <w:rPr>
          <w:rFonts w:ascii="Times New Roman" w:hAnsi="Times New Roman" w:cs="Times New Roman"/>
        </w:rPr>
        <w:t>NESHAP potentially relevant to the oil-to-natural gas conversion project emission units are discussed in the following subsections</w:t>
      </w:r>
      <w:r>
        <w:t>.</w:t>
      </w:r>
    </w:p>
    <w:p w:rsidR="005520A0" w:rsidRPr="005520A0" w:rsidRDefault="005520A0" w:rsidP="000F14B7">
      <w:pPr>
        <w:pStyle w:val="ListParagraph"/>
        <w:widowControl w:val="0"/>
        <w:numPr>
          <w:ilvl w:val="0"/>
          <w:numId w:val="21"/>
        </w:numPr>
        <w:spacing w:after="120"/>
        <w:ind w:hanging="720"/>
        <w:contextualSpacing w:val="0"/>
        <w:rPr>
          <w:rFonts w:ascii="Times New Roman" w:hAnsi="Times New Roman" w:cs="Times New Roman"/>
          <w:b/>
          <w:caps/>
        </w:rPr>
      </w:pPr>
      <w:r w:rsidRPr="00555879">
        <w:rPr>
          <w:rFonts w:ascii="Times New Roman" w:hAnsi="Times New Roman" w:cs="Times New Roman"/>
          <w:i/>
        </w:rPr>
        <w:t xml:space="preserve">NESHAP Subpart DDDDD </w:t>
      </w:r>
      <w:r>
        <w:rPr>
          <w:rFonts w:ascii="Times New Roman" w:hAnsi="Times New Roman" w:cs="Times New Roman"/>
          <w:i/>
        </w:rPr>
        <w:t>–</w:t>
      </w:r>
      <w:r w:rsidRPr="00555879">
        <w:rPr>
          <w:rFonts w:ascii="Times New Roman" w:hAnsi="Times New Roman" w:cs="Times New Roman"/>
          <w:i/>
        </w:rPr>
        <w:t xml:space="preserve"> </w:t>
      </w:r>
      <w:r>
        <w:rPr>
          <w:rFonts w:ascii="Times New Roman" w:hAnsi="Times New Roman" w:cs="Times New Roman"/>
          <w:i/>
        </w:rPr>
        <w:t xml:space="preserve">Major Sources, </w:t>
      </w:r>
      <w:r w:rsidRPr="00555879">
        <w:rPr>
          <w:rFonts w:ascii="Times New Roman" w:hAnsi="Times New Roman" w:cs="Times New Roman"/>
          <w:i/>
        </w:rPr>
        <w:t xml:space="preserve">Industrial-Commercial-Institutional </w:t>
      </w:r>
      <w:r>
        <w:rPr>
          <w:rFonts w:ascii="Times New Roman" w:hAnsi="Times New Roman" w:cs="Times New Roman"/>
          <w:i/>
        </w:rPr>
        <w:t>Boilers and Process Heaters</w:t>
      </w:r>
    </w:p>
    <w:p w:rsidR="005520A0" w:rsidRDefault="005520A0" w:rsidP="000F14B7">
      <w:pPr>
        <w:pStyle w:val="ListParagraph"/>
        <w:widowControl w:val="0"/>
        <w:spacing w:after="120" w:line="240" w:lineRule="auto"/>
        <w:ind w:left="0"/>
        <w:contextualSpacing w:val="0"/>
        <w:rPr>
          <w:rFonts w:ascii="Times New Roman" w:hAnsi="Times New Roman" w:cs="Times New Roman"/>
        </w:rPr>
      </w:pPr>
      <w:r w:rsidRPr="000B64A7">
        <w:rPr>
          <w:rFonts w:ascii="Times New Roman" w:hAnsi="Times New Roman" w:cs="Times New Roman"/>
        </w:rPr>
        <w:t xml:space="preserve">EPA issued a revised final </w:t>
      </w:r>
      <w:r>
        <w:rPr>
          <w:rFonts w:ascii="Times New Roman" w:hAnsi="Times New Roman" w:cs="Times New Roman"/>
        </w:rPr>
        <w:t>NESHAP Subpart DDDDD</w:t>
      </w:r>
      <w:r w:rsidRPr="000B64A7">
        <w:rPr>
          <w:rFonts w:ascii="Times New Roman" w:hAnsi="Times New Roman" w:cs="Times New Roman"/>
        </w:rPr>
        <w:t xml:space="preserve"> on May 21, 2011. </w:t>
      </w:r>
      <w:r>
        <w:rPr>
          <w:rFonts w:ascii="Times New Roman" w:hAnsi="Times New Roman" w:cs="Times New Roman"/>
        </w:rPr>
        <w:t xml:space="preserve"> </w:t>
      </w:r>
      <w:r w:rsidRPr="000B64A7">
        <w:rPr>
          <w:rFonts w:ascii="Times New Roman" w:hAnsi="Times New Roman" w:cs="Times New Roman"/>
        </w:rPr>
        <w:t xml:space="preserve">However, on the same day EPA also published a notice announcing its intent to reconsider certain provisions of the final rule. </w:t>
      </w:r>
      <w:r>
        <w:rPr>
          <w:rFonts w:ascii="Times New Roman" w:hAnsi="Times New Roman" w:cs="Times New Roman"/>
        </w:rPr>
        <w:t xml:space="preserve"> </w:t>
      </w:r>
      <w:r w:rsidRPr="000B64A7">
        <w:rPr>
          <w:rFonts w:ascii="Times New Roman" w:hAnsi="Times New Roman" w:cs="Times New Roman"/>
        </w:rPr>
        <w:t xml:space="preserve">On December 23, 2011, EPA issued a proposed </w:t>
      </w:r>
      <w:r>
        <w:rPr>
          <w:rFonts w:ascii="Times New Roman" w:hAnsi="Times New Roman" w:cs="Times New Roman"/>
        </w:rPr>
        <w:t>NESHAP Subpart DDDDD</w:t>
      </w:r>
      <w:r w:rsidRPr="000B64A7">
        <w:rPr>
          <w:rFonts w:ascii="Times New Roman" w:hAnsi="Times New Roman" w:cs="Times New Roman"/>
        </w:rPr>
        <w:t xml:space="preserve"> regarding its reconsideration of the May 21, 2011 final </w:t>
      </w:r>
      <w:r>
        <w:rPr>
          <w:rFonts w:ascii="Times New Roman" w:hAnsi="Times New Roman" w:cs="Times New Roman"/>
        </w:rPr>
        <w:t>NESHAP</w:t>
      </w:r>
      <w:r w:rsidRPr="000B64A7">
        <w:rPr>
          <w:rFonts w:ascii="Times New Roman" w:hAnsi="Times New Roman" w:cs="Times New Roman"/>
        </w:rPr>
        <w:t xml:space="preserve">. </w:t>
      </w:r>
      <w:r>
        <w:rPr>
          <w:rFonts w:ascii="Times New Roman" w:hAnsi="Times New Roman" w:cs="Times New Roman"/>
        </w:rPr>
        <w:t xml:space="preserve"> </w:t>
      </w:r>
      <w:r w:rsidRPr="000B64A7">
        <w:rPr>
          <w:rFonts w:ascii="Times New Roman" w:hAnsi="Times New Roman" w:cs="Times New Roman"/>
        </w:rPr>
        <w:t xml:space="preserve">As proposed, NSPS Subpart DDDDD would only apply to new and existing industrial boilers and process heaters located at major HAP sources. </w:t>
      </w:r>
      <w:r>
        <w:rPr>
          <w:rFonts w:ascii="Times New Roman" w:hAnsi="Times New Roman" w:cs="Times New Roman"/>
        </w:rPr>
        <w:t xml:space="preserve"> </w:t>
      </w:r>
      <w:r w:rsidRPr="000B64A7">
        <w:rPr>
          <w:rFonts w:ascii="Times New Roman" w:hAnsi="Times New Roman" w:cs="Times New Roman"/>
        </w:rPr>
        <w:t xml:space="preserve">Since the </w:t>
      </w:r>
      <w:r>
        <w:rPr>
          <w:rFonts w:ascii="Times New Roman" w:hAnsi="Times New Roman" w:cs="Times New Roman"/>
        </w:rPr>
        <w:t>Polk Power Station</w:t>
      </w:r>
      <w:r w:rsidRPr="000B64A7">
        <w:rPr>
          <w:rFonts w:ascii="Times New Roman" w:hAnsi="Times New Roman" w:cs="Times New Roman"/>
        </w:rPr>
        <w:t xml:space="preserve"> is not a major HAP source, </w:t>
      </w:r>
      <w:r>
        <w:rPr>
          <w:rFonts w:ascii="Times New Roman" w:hAnsi="Times New Roman" w:cs="Times New Roman"/>
        </w:rPr>
        <w:t>it</w:t>
      </w:r>
      <w:r w:rsidRPr="000B64A7">
        <w:rPr>
          <w:rFonts w:ascii="Times New Roman" w:hAnsi="Times New Roman" w:cs="Times New Roman"/>
        </w:rPr>
        <w:t xml:space="preserve"> </w:t>
      </w:r>
      <w:r>
        <w:rPr>
          <w:rFonts w:ascii="Times New Roman" w:hAnsi="Times New Roman" w:cs="Times New Roman"/>
        </w:rPr>
        <w:t>is</w:t>
      </w:r>
      <w:r w:rsidRPr="000B64A7">
        <w:rPr>
          <w:rFonts w:ascii="Times New Roman" w:hAnsi="Times New Roman" w:cs="Times New Roman"/>
        </w:rPr>
        <w:t xml:space="preserve"> </w:t>
      </w:r>
      <w:r w:rsidRPr="000B64A7">
        <w:rPr>
          <w:rFonts w:ascii="Times New Roman" w:hAnsi="Times New Roman" w:cs="Times New Roman"/>
          <w:u w:val="single"/>
        </w:rPr>
        <w:t>not</w:t>
      </w:r>
      <w:r w:rsidRPr="000B64A7">
        <w:rPr>
          <w:rFonts w:ascii="Times New Roman" w:hAnsi="Times New Roman" w:cs="Times New Roman"/>
        </w:rPr>
        <w:t xml:space="preserve"> be subject to </w:t>
      </w:r>
      <w:r>
        <w:rPr>
          <w:rFonts w:ascii="Times New Roman" w:hAnsi="Times New Roman" w:cs="Times New Roman"/>
        </w:rPr>
        <w:t xml:space="preserve">the final or proposed </w:t>
      </w:r>
      <w:r w:rsidRPr="000B64A7">
        <w:rPr>
          <w:rFonts w:ascii="Times New Roman" w:hAnsi="Times New Roman" w:cs="Times New Roman"/>
        </w:rPr>
        <w:t>NESHAP Subpart DDDDD</w:t>
      </w:r>
      <w:r>
        <w:rPr>
          <w:rFonts w:ascii="Times New Roman" w:hAnsi="Times New Roman" w:cs="Times New Roman"/>
        </w:rPr>
        <w:t>.</w:t>
      </w:r>
    </w:p>
    <w:p w:rsidR="005520A0" w:rsidRPr="005520A0" w:rsidRDefault="005520A0" w:rsidP="00F9414C">
      <w:pPr>
        <w:pStyle w:val="ListParagraph"/>
        <w:numPr>
          <w:ilvl w:val="0"/>
          <w:numId w:val="22"/>
        </w:numPr>
        <w:spacing w:after="120"/>
        <w:ind w:hanging="720"/>
        <w:contextualSpacing w:val="0"/>
        <w:rPr>
          <w:rFonts w:ascii="Times New Roman" w:hAnsi="Times New Roman" w:cs="Times New Roman"/>
          <w:b/>
          <w:caps/>
        </w:rPr>
      </w:pPr>
      <w:r>
        <w:rPr>
          <w:rFonts w:ascii="Times New Roman" w:hAnsi="Times New Roman" w:cs="Times New Roman"/>
          <w:i/>
        </w:rPr>
        <w:t>NESHAP Subpart JJJJJJ - Area</w:t>
      </w:r>
      <w:r w:rsidRPr="000B64A7">
        <w:rPr>
          <w:rFonts w:ascii="Times New Roman" w:hAnsi="Times New Roman" w:cs="Times New Roman"/>
          <w:i/>
        </w:rPr>
        <w:t xml:space="preserve"> Sources, Industrial-Commercial-Institutional Boilers</w:t>
      </w:r>
    </w:p>
    <w:p w:rsidR="005520A0" w:rsidRPr="006372BC" w:rsidRDefault="005520A0" w:rsidP="005520A0">
      <w:pPr>
        <w:pStyle w:val="ListParagraph"/>
        <w:spacing w:after="120" w:line="240" w:lineRule="auto"/>
        <w:ind w:left="0"/>
        <w:contextualSpacing w:val="0"/>
        <w:rPr>
          <w:rFonts w:ascii="Times New Roman" w:hAnsi="Times New Roman" w:cs="Times New Roman"/>
        </w:rPr>
      </w:pPr>
      <w:r w:rsidRPr="006372BC">
        <w:rPr>
          <w:rFonts w:ascii="Times New Roman" w:hAnsi="Times New Roman" w:cs="Times New Roman"/>
        </w:rPr>
        <w:t>NESHAPS Subpart</w:t>
      </w:r>
      <w:r>
        <w:rPr>
          <w:rFonts w:ascii="Times New Roman" w:hAnsi="Times New Roman" w:cs="Times New Roman"/>
        </w:rPr>
        <w:t xml:space="preserve"> </w:t>
      </w:r>
      <w:r w:rsidRPr="006372BC">
        <w:rPr>
          <w:rFonts w:ascii="Times New Roman" w:hAnsi="Times New Roman" w:cs="Times New Roman"/>
        </w:rPr>
        <w:t xml:space="preserve">JJJJJJ was promulgated by EPA as a final rule on March 21, 2011. The rule applies to new and existing industrial, commercial, and institutional boilers located at area HAP sources. </w:t>
      </w:r>
      <w:r>
        <w:rPr>
          <w:rFonts w:ascii="Times New Roman" w:hAnsi="Times New Roman" w:cs="Times New Roman"/>
        </w:rPr>
        <w:t xml:space="preserve"> </w:t>
      </w:r>
      <w:r w:rsidRPr="006372BC">
        <w:rPr>
          <w:rFonts w:ascii="Times New Roman" w:hAnsi="Times New Roman" w:cs="Times New Roman"/>
        </w:rPr>
        <w:t xml:space="preserve">The </w:t>
      </w:r>
      <w:r>
        <w:rPr>
          <w:rFonts w:ascii="Times New Roman" w:hAnsi="Times New Roman" w:cs="Times New Roman"/>
        </w:rPr>
        <w:t>Polk Power Station</w:t>
      </w:r>
      <w:r w:rsidRPr="006372BC">
        <w:rPr>
          <w:rFonts w:ascii="Times New Roman" w:hAnsi="Times New Roman" w:cs="Times New Roman"/>
        </w:rPr>
        <w:t xml:space="preserve"> is classified as an area HAP source. </w:t>
      </w:r>
      <w:r>
        <w:rPr>
          <w:rFonts w:ascii="Times New Roman" w:hAnsi="Times New Roman" w:cs="Times New Roman"/>
        </w:rPr>
        <w:t xml:space="preserve"> </w:t>
      </w:r>
      <w:r w:rsidRPr="006372BC">
        <w:rPr>
          <w:rFonts w:ascii="Times New Roman" w:hAnsi="Times New Roman" w:cs="Times New Roman"/>
        </w:rPr>
        <w:t xml:space="preserve">However, NESHAPS Subpart JJJJJJ §63.11195(e) specifically exempts gas-fired boilers. </w:t>
      </w:r>
      <w:r>
        <w:rPr>
          <w:rFonts w:ascii="Times New Roman" w:hAnsi="Times New Roman" w:cs="Times New Roman"/>
        </w:rPr>
        <w:t xml:space="preserve"> </w:t>
      </w:r>
      <w:r w:rsidRPr="006372BC">
        <w:rPr>
          <w:rFonts w:ascii="Times New Roman" w:hAnsi="Times New Roman" w:cs="Times New Roman"/>
        </w:rPr>
        <w:t>A gas-fired boiler is defined by §63.11237 as:</w:t>
      </w:r>
    </w:p>
    <w:p w:rsidR="005520A0" w:rsidRPr="006372BC" w:rsidRDefault="005520A0" w:rsidP="005520A0">
      <w:pPr>
        <w:pStyle w:val="ListParagraph"/>
        <w:spacing w:after="120" w:line="240" w:lineRule="auto"/>
        <w:ind w:left="0"/>
        <w:contextualSpacing w:val="0"/>
        <w:rPr>
          <w:rFonts w:ascii="Times New Roman" w:hAnsi="Times New Roman" w:cs="Times New Roman"/>
          <w:i/>
        </w:rPr>
      </w:pPr>
      <w:r w:rsidRPr="006372BC">
        <w:rPr>
          <w:rFonts w:ascii="Times New Roman" w:hAnsi="Times New Roman" w:cs="Times New Roman"/>
          <w:i/>
        </w:rPr>
        <w:t>“</w:t>
      </w:r>
      <w:r w:rsidR="0005393F">
        <w:rPr>
          <w:rFonts w:ascii="Times New Roman" w:hAnsi="Times New Roman" w:cs="Times New Roman"/>
          <w:i/>
        </w:rPr>
        <w:t xml:space="preserve">… </w:t>
      </w:r>
      <w:r w:rsidRPr="006372BC">
        <w:rPr>
          <w:rFonts w:ascii="Times New Roman" w:hAnsi="Times New Roman" w:cs="Times New Roman"/>
          <w:i/>
        </w:rPr>
        <w:t xml:space="preserve">any boiler that burns gaseous fuels not combined with any solid fuels, burns liquid fuel only during periods of gas curtailment, gas supply emergencies, or periodic testing on liquid fuel”. </w:t>
      </w:r>
    </w:p>
    <w:p w:rsidR="005520A0" w:rsidRDefault="005520A0" w:rsidP="005520A0">
      <w:pPr>
        <w:pStyle w:val="ListParagraph"/>
        <w:spacing w:after="120" w:line="240" w:lineRule="auto"/>
        <w:ind w:left="0"/>
        <w:contextualSpacing w:val="0"/>
        <w:rPr>
          <w:rFonts w:ascii="Times New Roman" w:hAnsi="Times New Roman" w:cs="Times New Roman"/>
        </w:rPr>
      </w:pPr>
      <w:r w:rsidRPr="006372BC">
        <w:rPr>
          <w:rFonts w:ascii="Times New Roman" w:hAnsi="Times New Roman" w:cs="Times New Roman"/>
        </w:rPr>
        <w:t xml:space="preserve">Accordingly, the auxiliary boiler following conversion to natural gas fuel will </w:t>
      </w:r>
      <w:r w:rsidRPr="006372BC">
        <w:rPr>
          <w:rFonts w:ascii="Times New Roman" w:hAnsi="Times New Roman" w:cs="Times New Roman"/>
          <w:u w:val="single"/>
        </w:rPr>
        <w:t>not</w:t>
      </w:r>
      <w:r w:rsidRPr="006372BC">
        <w:rPr>
          <w:rFonts w:ascii="Times New Roman" w:hAnsi="Times New Roman" w:cs="Times New Roman"/>
        </w:rPr>
        <w:t xml:space="preserve"> be subject to the requirements of NESHAPS Subpart</w:t>
      </w:r>
      <w:r>
        <w:rPr>
          <w:rFonts w:ascii="Times New Roman" w:hAnsi="Times New Roman" w:cs="Times New Roman"/>
        </w:rPr>
        <w:t xml:space="preserve"> JJJJJJ.</w:t>
      </w:r>
    </w:p>
    <w:p w:rsidR="005520A0" w:rsidRPr="005520A0" w:rsidRDefault="005520A0" w:rsidP="00F9414C">
      <w:pPr>
        <w:pStyle w:val="ListParagraph"/>
        <w:numPr>
          <w:ilvl w:val="0"/>
          <w:numId w:val="23"/>
        </w:numPr>
        <w:spacing w:after="120"/>
        <w:ind w:hanging="720"/>
        <w:contextualSpacing w:val="0"/>
        <w:rPr>
          <w:rFonts w:ascii="Times New Roman" w:hAnsi="Times New Roman" w:cs="Times New Roman"/>
          <w:b/>
          <w:caps/>
        </w:rPr>
      </w:pPr>
      <w:r>
        <w:rPr>
          <w:rFonts w:ascii="Times New Roman" w:hAnsi="Times New Roman" w:cs="Times New Roman"/>
          <w:i/>
        </w:rPr>
        <w:t>NESHAP Subpart UUUUU – C</w:t>
      </w:r>
      <w:r w:rsidRPr="006372BC">
        <w:rPr>
          <w:rFonts w:ascii="Times New Roman" w:hAnsi="Times New Roman" w:cs="Times New Roman"/>
          <w:i/>
        </w:rPr>
        <w:t>oal</w:t>
      </w:r>
      <w:r>
        <w:rPr>
          <w:rFonts w:ascii="Times New Roman" w:hAnsi="Times New Roman" w:cs="Times New Roman"/>
          <w:i/>
        </w:rPr>
        <w:t xml:space="preserve"> </w:t>
      </w:r>
      <w:r w:rsidRPr="006372BC">
        <w:rPr>
          <w:rFonts w:ascii="Times New Roman" w:hAnsi="Times New Roman" w:cs="Times New Roman"/>
          <w:i/>
        </w:rPr>
        <w:t xml:space="preserve"> and </w:t>
      </w:r>
      <w:r>
        <w:rPr>
          <w:rFonts w:ascii="Times New Roman" w:hAnsi="Times New Roman" w:cs="Times New Roman"/>
          <w:i/>
        </w:rPr>
        <w:t>O</w:t>
      </w:r>
      <w:r w:rsidRPr="006372BC">
        <w:rPr>
          <w:rFonts w:ascii="Times New Roman" w:hAnsi="Times New Roman" w:cs="Times New Roman"/>
          <w:i/>
        </w:rPr>
        <w:t>il</w:t>
      </w:r>
      <w:r>
        <w:rPr>
          <w:rFonts w:ascii="Times New Roman" w:hAnsi="Times New Roman" w:cs="Times New Roman"/>
          <w:i/>
        </w:rPr>
        <w:t xml:space="preserve"> F</w:t>
      </w:r>
      <w:r w:rsidRPr="006372BC">
        <w:rPr>
          <w:rFonts w:ascii="Times New Roman" w:hAnsi="Times New Roman" w:cs="Times New Roman"/>
          <w:i/>
        </w:rPr>
        <w:t xml:space="preserve">ired </w:t>
      </w:r>
      <w:r>
        <w:rPr>
          <w:rFonts w:ascii="Times New Roman" w:hAnsi="Times New Roman" w:cs="Times New Roman"/>
          <w:i/>
        </w:rPr>
        <w:t>E</w:t>
      </w:r>
      <w:r w:rsidRPr="006372BC">
        <w:rPr>
          <w:rFonts w:ascii="Times New Roman" w:hAnsi="Times New Roman" w:cs="Times New Roman"/>
          <w:i/>
        </w:rPr>
        <w:t xml:space="preserve">lectric </w:t>
      </w:r>
      <w:r>
        <w:rPr>
          <w:rFonts w:ascii="Times New Roman" w:hAnsi="Times New Roman" w:cs="Times New Roman"/>
          <w:i/>
        </w:rPr>
        <w:t>U</w:t>
      </w:r>
      <w:r w:rsidRPr="006372BC">
        <w:rPr>
          <w:rFonts w:ascii="Times New Roman" w:hAnsi="Times New Roman" w:cs="Times New Roman"/>
          <w:i/>
        </w:rPr>
        <w:t xml:space="preserve">tility </w:t>
      </w:r>
      <w:r>
        <w:rPr>
          <w:rFonts w:ascii="Times New Roman" w:hAnsi="Times New Roman" w:cs="Times New Roman"/>
          <w:i/>
        </w:rPr>
        <w:t>S</w:t>
      </w:r>
      <w:r w:rsidRPr="006372BC">
        <w:rPr>
          <w:rFonts w:ascii="Times New Roman" w:hAnsi="Times New Roman" w:cs="Times New Roman"/>
          <w:i/>
        </w:rPr>
        <w:t xml:space="preserve">team </w:t>
      </w:r>
      <w:r>
        <w:rPr>
          <w:rFonts w:ascii="Times New Roman" w:hAnsi="Times New Roman" w:cs="Times New Roman"/>
          <w:i/>
        </w:rPr>
        <w:t>G</w:t>
      </w:r>
      <w:r w:rsidRPr="006372BC">
        <w:rPr>
          <w:rFonts w:ascii="Times New Roman" w:hAnsi="Times New Roman" w:cs="Times New Roman"/>
          <w:i/>
        </w:rPr>
        <w:t xml:space="preserve">enerating </w:t>
      </w:r>
      <w:r>
        <w:rPr>
          <w:rFonts w:ascii="Times New Roman" w:hAnsi="Times New Roman" w:cs="Times New Roman"/>
          <w:i/>
        </w:rPr>
        <w:t>U</w:t>
      </w:r>
      <w:r w:rsidRPr="006372BC">
        <w:rPr>
          <w:rFonts w:ascii="Times New Roman" w:hAnsi="Times New Roman" w:cs="Times New Roman"/>
          <w:i/>
        </w:rPr>
        <w:t>nits</w:t>
      </w:r>
    </w:p>
    <w:p w:rsidR="005520A0" w:rsidRDefault="005520A0" w:rsidP="00DA04BF">
      <w:pPr>
        <w:pStyle w:val="ListParagraph"/>
        <w:spacing w:after="120" w:line="240" w:lineRule="auto"/>
        <w:ind w:left="0"/>
        <w:contextualSpacing w:val="0"/>
        <w:rPr>
          <w:rFonts w:ascii="Times New Roman" w:hAnsi="Times New Roman" w:cs="Times New Roman"/>
        </w:rPr>
      </w:pPr>
      <w:r w:rsidRPr="006372BC">
        <w:rPr>
          <w:rFonts w:ascii="Times New Roman" w:hAnsi="Times New Roman" w:cs="Times New Roman"/>
        </w:rPr>
        <w:lastRenderedPageBreak/>
        <w:t xml:space="preserve">NESHAPS Subpart UUUUU applies to new and existing coal- and oil-fired electric generating units. </w:t>
      </w:r>
      <w:r>
        <w:rPr>
          <w:rFonts w:ascii="Times New Roman" w:hAnsi="Times New Roman" w:cs="Times New Roman"/>
        </w:rPr>
        <w:t xml:space="preserve"> </w:t>
      </w:r>
      <w:r w:rsidRPr="006372BC">
        <w:rPr>
          <w:rFonts w:ascii="Times New Roman" w:hAnsi="Times New Roman" w:cs="Times New Roman"/>
        </w:rPr>
        <w:t>As an existing EGU, Unit</w:t>
      </w:r>
      <w:r>
        <w:rPr>
          <w:rFonts w:ascii="Times New Roman" w:hAnsi="Times New Roman" w:cs="Times New Roman"/>
        </w:rPr>
        <w:t xml:space="preserve"> 1</w:t>
      </w:r>
      <w:r w:rsidRPr="006372BC">
        <w:rPr>
          <w:rFonts w:ascii="Times New Roman" w:hAnsi="Times New Roman" w:cs="Times New Roman"/>
        </w:rPr>
        <w:t xml:space="preserve"> will need to comply with the applicable requirements of NESHAP Subpart UUUUU no later than April 16, 2015. </w:t>
      </w:r>
      <w:r>
        <w:rPr>
          <w:rFonts w:ascii="Times New Roman" w:hAnsi="Times New Roman" w:cs="Times New Roman"/>
        </w:rPr>
        <w:t xml:space="preserve"> </w:t>
      </w:r>
      <w:r w:rsidRPr="006372BC">
        <w:rPr>
          <w:rFonts w:ascii="Times New Roman" w:hAnsi="Times New Roman" w:cs="Times New Roman"/>
        </w:rPr>
        <w:t>For existing IGCC units, NESHAPS Subpart UUUUU contains emission standards for filterable particulate matter (PM) [or alternatively total non-Hg HAP metals or individual HAP metals], HCl, and Hg.</w:t>
      </w:r>
    </w:p>
    <w:p w:rsidR="00380E63" w:rsidRPr="005520A0" w:rsidRDefault="005520A0" w:rsidP="005520A0">
      <w:pPr>
        <w:pStyle w:val="ListParagraph"/>
        <w:numPr>
          <w:ilvl w:val="0"/>
          <w:numId w:val="5"/>
        </w:numPr>
        <w:spacing w:after="120"/>
        <w:ind w:hanging="720"/>
        <w:contextualSpacing w:val="0"/>
        <w:rPr>
          <w:rFonts w:ascii="Times New Roman Bold" w:hAnsi="Times New Roman Bold" w:cs="Times New Roman"/>
          <w:b/>
          <w:caps/>
        </w:rPr>
      </w:pPr>
      <w:r w:rsidRPr="005520A0">
        <w:rPr>
          <w:rFonts w:ascii="Times New Roman Bold" w:hAnsi="Times New Roman Bold" w:cs="Times New Roman"/>
          <w:b/>
          <w:caps/>
        </w:rPr>
        <w:t>Required Permit Changes and Other Modifications</w:t>
      </w:r>
    </w:p>
    <w:p w:rsidR="005520A0" w:rsidRPr="005520A0" w:rsidRDefault="005520A0" w:rsidP="00F9414C">
      <w:pPr>
        <w:pStyle w:val="ListParagraph"/>
        <w:numPr>
          <w:ilvl w:val="0"/>
          <w:numId w:val="24"/>
        </w:numPr>
        <w:spacing w:after="120"/>
        <w:ind w:hanging="720"/>
        <w:contextualSpacing w:val="0"/>
        <w:rPr>
          <w:rFonts w:ascii="Times New Roman Bold" w:hAnsi="Times New Roman Bold" w:cs="Times New Roman"/>
          <w:b/>
        </w:rPr>
      </w:pPr>
      <w:r w:rsidRPr="005520A0">
        <w:rPr>
          <w:rFonts w:ascii="Times New Roman Bold" w:hAnsi="Times New Roman Bold" w:cs="Times New Roman"/>
          <w:b/>
        </w:rPr>
        <w:t>Project 1</w:t>
      </w:r>
    </w:p>
    <w:p w:rsidR="00A84D12" w:rsidRPr="00A84D12" w:rsidRDefault="00A84D12" w:rsidP="00D8265A">
      <w:pPr>
        <w:spacing w:after="120"/>
        <w:rPr>
          <w:sz w:val="22"/>
          <w:szCs w:val="22"/>
        </w:rPr>
      </w:pPr>
      <w:r w:rsidRPr="00A84D12">
        <w:rPr>
          <w:sz w:val="22"/>
          <w:szCs w:val="22"/>
        </w:rPr>
        <w:t xml:space="preserve">The following discussion </w:t>
      </w:r>
      <w:r w:rsidR="00FB395B">
        <w:rPr>
          <w:sz w:val="22"/>
          <w:szCs w:val="22"/>
        </w:rPr>
        <w:t xml:space="preserve">for </w:t>
      </w:r>
      <w:r w:rsidR="0005393F">
        <w:rPr>
          <w:sz w:val="22"/>
          <w:szCs w:val="22"/>
        </w:rPr>
        <w:t>P</w:t>
      </w:r>
      <w:r w:rsidR="00FB395B">
        <w:rPr>
          <w:sz w:val="22"/>
          <w:szCs w:val="22"/>
        </w:rPr>
        <w:t xml:space="preserve">roject 1 </w:t>
      </w:r>
      <w:r w:rsidRPr="00A84D12">
        <w:rPr>
          <w:sz w:val="22"/>
          <w:szCs w:val="22"/>
        </w:rPr>
        <w:t>is broken into the applicant</w:t>
      </w:r>
      <w:r w:rsidR="0005393F">
        <w:rPr>
          <w:sz w:val="22"/>
          <w:szCs w:val="22"/>
        </w:rPr>
        <w:t>’</w:t>
      </w:r>
      <w:r w:rsidRPr="00A84D12">
        <w:rPr>
          <w:sz w:val="22"/>
          <w:szCs w:val="22"/>
        </w:rPr>
        <w:t xml:space="preserve">s requested </w:t>
      </w:r>
      <w:r>
        <w:rPr>
          <w:sz w:val="22"/>
          <w:szCs w:val="22"/>
        </w:rPr>
        <w:t xml:space="preserve">changes by EU </w:t>
      </w:r>
      <w:r w:rsidRPr="00A84D12">
        <w:rPr>
          <w:sz w:val="22"/>
          <w:szCs w:val="22"/>
        </w:rPr>
        <w:t xml:space="preserve">followed by the Departments’ response </w:t>
      </w:r>
      <w:r>
        <w:rPr>
          <w:sz w:val="22"/>
          <w:szCs w:val="22"/>
        </w:rPr>
        <w:t>to</w:t>
      </w:r>
      <w:r w:rsidRPr="00A84D12">
        <w:rPr>
          <w:sz w:val="22"/>
          <w:szCs w:val="22"/>
        </w:rPr>
        <w:t xml:space="preserve"> each requested change.</w:t>
      </w:r>
    </w:p>
    <w:p w:rsidR="00D8265A" w:rsidRPr="006C2187" w:rsidRDefault="0049046C" w:rsidP="00F9414C">
      <w:pPr>
        <w:pStyle w:val="ListParagraph"/>
        <w:numPr>
          <w:ilvl w:val="0"/>
          <w:numId w:val="25"/>
        </w:numPr>
        <w:spacing w:after="120"/>
        <w:ind w:hanging="720"/>
        <w:contextualSpacing w:val="0"/>
        <w:rPr>
          <w:rFonts w:ascii="Times New Roman" w:hAnsi="Times New Roman" w:cs="Times New Roman"/>
          <w:b/>
        </w:rPr>
      </w:pPr>
      <w:r w:rsidRPr="006C2187">
        <w:rPr>
          <w:rFonts w:ascii="Times New Roman" w:hAnsi="Times New Roman" w:cs="Times New Roman"/>
          <w:u w:val="single"/>
        </w:rPr>
        <w:t xml:space="preserve">Fuel </w:t>
      </w:r>
      <w:r w:rsidR="00847873" w:rsidRPr="006C2187">
        <w:rPr>
          <w:rFonts w:ascii="Times New Roman" w:hAnsi="Times New Roman" w:cs="Times New Roman"/>
          <w:u w:val="single"/>
        </w:rPr>
        <w:t xml:space="preserve">Oil Sulfur </w:t>
      </w:r>
      <w:r w:rsidR="00A84D12" w:rsidRPr="006C2187">
        <w:rPr>
          <w:rFonts w:ascii="Times New Roman" w:hAnsi="Times New Roman" w:cs="Times New Roman"/>
          <w:u w:val="single"/>
        </w:rPr>
        <w:t>Content</w:t>
      </w:r>
      <w:r w:rsidR="00442BCF" w:rsidRPr="006C2187">
        <w:rPr>
          <w:rFonts w:ascii="Times New Roman" w:hAnsi="Times New Roman" w:cs="Times New Roman"/>
          <w:u w:val="single"/>
        </w:rPr>
        <w:t>, SO</w:t>
      </w:r>
      <w:r w:rsidR="0005393F" w:rsidRPr="0005393F">
        <w:rPr>
          <w:rFonts w:ascii="Times New Roman" w:hAnsi="Times New Roman" w:cs="Times New Roman"/>
          <w:sz w:val="16"/>
          <w:szCs w:val="16"/>
          <w:u w:val="single"/>
        </w:rPr>
        <w:t>2</w:t>
      </w:r>
      <w:r w:rsidR="00442BCF" w:rsidRPr="006C2187">
        <w:rPr>
          <w:rFonts w:ascii="Times New Roman" w:hAnsi="Times New Roman" w:cs="Times New Roman"/>
          <w:u w:val="single"/>
        </w:rPr>
        <w:t xml:space="preserve"> </w:t>
      </w:r>
      <w:r w:rsidR="00501D60" w:rsidRPr="006C2187">
        <w:rPr>
          <w:rFonts w:ascii="Times New Roman" w:hAnsi="Times New Roman" w:cs="Times New Roman"/>
          <w:u w:val="single"/>
        </w:rPr>
        <w:t>Averaging Time</w:t>
      </w:r>
      <w:r w:rsidR="00D2250E" w:rsidRPr="006C2187">
        <w:rPr>
          <w:rFonts w:ascii="Times New Roman" w:hAnsi="Times New Roman" w:cs="Times New Roman"/>
          <w:u w:val="single"/>
        </w:rPr>
        <w:t xml:space="preserve"> and SO</w:t>
      </w:r>
      <w:r w:rsidR="0005393F" w:rsidRPr="0005393F">
        <w:rPr>
          <w:rFonts w:ascii="Times New Roman" w:hAnsi="Times New Roman" w:cs="Times New Roman"/>
          <w:sz w:val="16"/>
          <w:szCs w:val="16"/>
          <w:u w:val="single"/>
        </w:rPr>
        <w:t>2</w:t>
      </w:r>
      <w:r w:rsidR="00D2250E" w:rsidRPr="006C2187">
        <w:rPr>
          <w:rFonts w:ascii="Times New Roman" w:hAnsi="Times New Roman" w:cs="Times New Roman"/>
          <w:u w:val="single"/>
        </w:rPr>
        <w:t xml:space="preserve"> Emissions</w:t>
      </w:r>
      <w:r w:rsidRPr="006C2187">
        <w:rPr>
          <w:rFonts w:ascii="Times New Roman" w:hAnsi="Times New Roman" w:cs="Times New Roman"/>
          <w:u w:val="single"/>
        </w:rPr>
        <w:t xml:space="preserve"> – Auxiliary Boiler</w:t>
      </w:r>
      <w:r w:rsidR="00FA02AE" w:rsidRPr="006C2187">
        <w:rPr>
          <w:rFonts w:ascii="Times New Roman" w:hAnsi="Times New Roman" w:cs="Times New Roman"/>
          <w:u w:val="single"/>
        </w:rPr>
        <w:t xml:space="preserve"> (EU 003)</w:t>
      </w:r>
    </w:p>
    <w:p w:rsidR="00EE7E1C" w:rsidRPr="006C2187" w:rsidRDefault="00EE7E1C" w:rsidP="00F9414C">
      <w:pPr>
        <w:pStyle w:val="ListParagraph"/>
        <w:numPr>
          <w:ilvl w:val="0"/>
          <w:numId w:val="26"/>
        </w:numPr>
        <w:spacing w:after="120"/>
        <w:ind w:hanging="720"/>
        <w:contextualSpacing w:val="0"/>
        <w:rPr>
          <w:rFonts w:ascii="Times New Roman" w:hAnsi="Times New Roman" w:cs="Times New Roman"/>
          <w:b/>
        </w:rPr>
      </w:pPr>
      <w:r w:rsidRPr="006C2187">
        <w:rPr>
          <w:rFonts w:ascii="Times New Roman" w:hAnsi="Times New Roman" w:cs="Times New Roman"/>
          <w:i/>
        </w:rPr>
        <w:t>Applicant Request</w:t>
      </w:r>
    </w:p>
    <w:p w:rsidR="0049046C" w:rsidRDefault="00EE7E1C" w:rsidP="00A84D12">
      <w:pPr>
        <w:spacing w:after="120"/>
        <w:rPr>
          <w:sz w:val="22"/>
          <w:szCs w:val="22"/>
        </w:rPr>
      </w:pPr>
      <w:r>
        <w:rPr>
          <w:sz w:val="22"/>
          <w:szCs w:val="22"/>
        </w:rPr>
        <w:t xml:space="preserve">Currently, </w:t>
      </w:r>
      <w:r w:rsidR="0049046C" w:rsidRPr="00A84D12">
        <w:rPr>
          <w:sz w:val="22"/>
          <w:szCs w:val="22"/>
        </w:rPr>
        <w:t xml:space="preserve">daily monitoring of fuel oil </w:t>
      </w:r>
      <w:r w:rsidR="005A153D">
        <w:rPr>
          <w:sz w:val="22"/>
          <w:szCs w:val="22"/>
        </w:rPr>
        <w:t xml:space="preserve">is required </w:t>
      </w:r>
      <w:r w:rsidR="0049046C" w:rsidRPr="00A84D12">
        <w:rPr>
          <w:sz w:val="22"/>
          <w:szCs w:val="22"/>
        </w:rPr>
        <w:t>to ensure its sulfur content</w:t>
      </w:r>
      <w:r w:rsidR="0049046C" w:rsidRPr="0049046C">
        <w:rPr>
          <w:sz w:val="22"/>
          <w:szCs w:val="22"/>
        </w:rPr>
        <w:t xml:space="preserve"> is less than or equal to 0.05% by weight on a daily basis whenever fuel oil is fired in the auxiliary boiler (EU 003).  </w:t>
      </w:r>
      <w:r w:rsidRPr="00EE7E1C">
        <w:rPr>
          <w:sz w:val="22"/>
          <w:szCs w:val="22"/>
        </w:rPr>
        <w:t>The applicant request</w:t>
      </w:r>
      <w:r w:rsidR="0005393F">
        <w:rPr>
          <w:sz w:val="22"/>
          <w:szCs w:val="22"/>
        </w:rPr>
        <w:t>s</w:t>
      </w:r>
      <w:r w:rsidRPr="00EE7E1C">
        <w:rPr>
          <w:sz w:val="22"/>
          <w:szCs w:val="22"/>
        </w:rPr>
        <w:t xml:space="preserve"> that the daily monitoring requirement for the auxiliary boiler be replaced by a monthly composite sample from each fuel delivery consistent with the Federal guidelines contained within NSPS Subpart Db.</w:t>
      </w:r>
      <w:r>
        <w:rPr>
          <w:sz w:val="22"/>
          <w:szCs w:val="22"/>
        </w:rPr>
        <w:t xml:space="preserve">  In addition, t</w:t>
      </w:r>
      <w:r w:rsidRPr="00EE7E1C">
        <w:rPr>
          <w:sz w:val="22"/>
          <w:szCs w:val="22"/>
        </w:rPr>
        <w:t>he applicant also requested that the 30</w:t>
      </w:r>
      <w:r w:rsidR="0005393F">
        <w:rPr>
          <w:sz w:val="22"/>
          <w:szCs w:val="22"/>
        </w:rPr>
        <w:t>-</w:t>
      </w:r>
      <w:r w:rsidRPr="00EE7E1C">
        <w:rPr>
          <w:sz w:val="22"/>
          <w:szCs w:val="22"/>
        </w:rPr>
        <w:t>day averaging period for SO</w:t>
      </w:r>
      <w:r w:rsidRPr="00EE7E1C">
        <w:rPr>
          <w:sz w:val="22"/>
          <w:szCs w:val="22"/>
          <w:vertAlign w:val="subscript"/>
        </w:rPr>
        <w:t>2</w:t>
      </w:r>
      <w:r w:rsidRPr="00EE7E1C">
        <w:rPr>
          <w:sz w:val="22"/>
          <w:szCs w:val="22"/>
        </w:rPr>
        <w:t xml:space="preserve"> emissions and </w:t>
      </w:r>
      <w:r w:rsidR="007367E7">
        <w:rPr>
          <w:sz w:val="22"/>
          <w:szCs w:val="22"/>
        </w:rPr>
        <w:t>the SO</w:t>
      </w:r>
      <w:r w:rsidR="007367E7" w:rsidRPr="009920A6">
        <w:rPr>
          <w:sz w:val="22"/>
          <w:szCs w:val="22"/>
          <w:vertAlign w:val="subscript"/>
        </w:rPr>
        <w:t>2</w:t>
      </w:r>
      <w:r w:rsidR="007367E7">
        <w:rPr>
          <w:sz w:val="22"/>
          <w:szCs w:val="22"/>
        </w:rPr>
        <w:t xml:space="preserve"> emission limit</w:t>
      </w:r>
      <w:r w:rsidRPr="00EE7E1C">
        <w:rPr>
          <w:sz w:val="22"/>
          <w:szCs w:val="22"/>
        </w:rPr>
        <w:t xml:space="preserve"> for the auxiliary boiler be removed.</w:t>
      </w:r>
      <w:r w:rsidR="0049046C" w:rsidRPr="0049046C">
        <w:rPr>
          <w:sz w:val="22"/>
          <w:szCs w:val="22"/>
        </w:rPr>
        <w:t xml:space="preserve">  </w:t>
      </w:r>
    </w:p>
    <w:p w:rsidR="009157EF" w:rsidRDefault="00C90E60" w:rsidP="00A84D12">
      <w:pPr>
        <w:spacing w:after="120"/>
        <w:rPr>
          <w:sz w:val="22"/>
          <w:szCs w:val="22"/>
        </w:rPr>
      </w:pPr>
      <w:r>
        <w:rPr>
          <w:sz w:val="22"/>
          <w:szCs w:val="22"/>
        </w:rPr>
        <w:t xml:space="preserve">In comments submitted </w:t>
      </w:r>
      <w:r w:rsidR="00937264">
        <w:rPr>
          <w:sz w:val="22"/>
          <w:szCs w:val="22"/>
        </w:rPr>
        <w:t xml:space="preserve">on June 21, 2012 </w:t>
      </w:r>
      <w:r>
        <w:rPr>
          <w:sz w:val="22"/>
          <w:szCs w:val="22"/>
        </w:rPr>
        <w:t xml:space="preserve">by the applicant on the </w:t>
      </w:r>
      <w:r w:rsidRPr="00C90E60">
        <w:rPr>
          <w:sz w:val="22"/>
          <w:szCs w:val="22"/>
        </w:rPr>
        <w:t xml:space="preserve">draft air construction </w:t>
      </w:r>
      <w:r w:rsidR="009920A6" w:rsidRPr="00C90E60">
        <w:rPr>
          <w:sz w:val="22"/>
          <w:szCs w:val="22"/>
        </w:rPr>
        <w:t xml:space="preserve">permit </w:t>
      </w:r>
      <w:r w:rsidRPr="00C90E60">
        <w:rPr>
          <w:sz w:val="22"/>
          <w:szCs w:val="22"/>
        </w:rPr>
        <w:t>and draft/proposed Title V air permit revision package</w:t>
      </w:r>
      <w:r w:rsidR="00302012">
        <w:rPr>
          <w:sz w:val="22"/>
          <w:szCs w:val="22"/>
        </w:rPr>
        <w:t xml:space="preserve"> issued on May 9, 2012</w:t>
      </w:r>
      <w:r>
        <w:rPr>
          <w:sz w:val="22"/>
          <w:szCs w:val="22"/>
        </w:rPr>
        <w:t>, it was requested that vendor certification of the fuel oil sulfur content be allowed</w:t>
      </w:r>
      <w:r w:rsidR="009920A6">
        <w:rPr>
          <w:sz w:val="22"/>
          <w:szCs w:val="22"/>
        </w:rPr>
        <w:t xml:space="preserve"> to show compliance with the fuel oil sulfur content.  In lieu of vendor certification, the applicant requested that</w:t>
      </w:r>
      <w:r w:rsidRPr="00C90E60">
        <w:rPr>
          <w:sz w:val="22"/>
          <w:szCs w:val="22"/>
        </w:rPr>
        <w:t xml:space="preserve"> a composite sampling procedure approved by the Administrator pursuant to 40</w:t>
      </w:r>
      <w:r>
        <w:rPr>
          <w:sz w:val="22"/>
          <w:szCs w:val="22"/>
        </w:rPr>
        <w:t xml:space="preserve"> </w:t>
      </w:r>
      <w:r w:rsidRPr="00C90E60">
        <w:rPr>
          <w:sz w:val="22"/>
          <w:szCs w:val="22"/>
        </w:rPr>
        <w:t>CFR 75.66</w:t>
      </w:r>
      <w:r w:rsidR="009920A6">
        <w:rPr>
          <w:sz w:val="22"/>
          <w:szCs w:val="22"/>
        </w:rPr>
        <w:t xml:space="preserve"> be allowed</w:t>
      </w:r>
      <w:r w:rsidRPr="00C90E60">
        <w:rPr>
          <w:sz w:val="22"/>
          <w:szCs w:val="22"/>
        </w:rPr>
        <w:t xml:space="preserve">. </w:t>
      </w:r>
      <w:r>
        <w:rPr>
          <w:sz w:val="22"/>
          <w:szCs w:val="22"/>
        </w:rPr>
        <w:t xml:space="preserve"> The applicant requested</w:t>
      </w:r>
      <w:r w:rsidR="00937264">
        <w:rPr>
          <w:sz w:val="22"/>
          <w:szCs w:val="22"/>
        </w:rPr>
        <w:t xml:space="preserve"> that t</w:t>
      </w:r>
      <w:r w:rsidRPr="00C90E60">
        <w:rPr>
          <w:sz w:val="22"/>
          <w:szCs w:val="22"/>
        </w:rPr>
        <w:t>he fuel contract and bills of lading be used to demonstrate complianc</w:t>
      </w:r>
      <w:r w:rsidR="00937264">
        <w:rPr>
          <w:sz w:val="22"/>
          <w:szCs w:val="22"/>
        </w:rPr>
        <w:t>e for the vendor certification.  For fuel oil sampling, the applicant requested that a</w:t>
      </w:r>
      <w:r w:rsidRPr="00C90E60">
        <w:rPr>
          <w:sz w:val="22"/>
          <w:szCs w:val="22"/>
        </w:rPr>
        <w:t xml:space="preserve"> monthly composite sample be prepared from each fuel oil delivery (lot) to the storage tanks</w:t>
      </w:r>
      <w:r w:rsidR="00937264">
        <w:rPr>
          <w:sz w:val="22"/>
          <w:szCs w:val="22"/>
        </w:rPr>
        <w:t>, with t</w:t>
      </w:r>
      <w:r w:rsidRPr="00C90E60">
        <w:rPr>
          <w:sz w:val="22"/>
          <w:szCs w:val="22"/>
        </w:rPr>
        <w:t>he sample analyzed in the laboratory for density, heat content and sulfur content.</w:t>
      </w:r>
    </w:p>
    <w:p w:rsidR="000C0E12" w:rsidRPr="006C2187" w:rsidRDefault="000C0E12" w:rsidP="00F9414C">
      <w:pPr>
        <w:pStyle w:val="ListParagraph"/>
        <w:numPr>
          <w:ilvl w:val="0"/>
          <w:numId w:val="27"/>
        </w:numPr>
        <w:spacing w:after="120"/>
        <w:ind w:hanging="720"/>
        <w:contextualSpacing w:val="0"/>
        <w:rPr>
          <w:rFonts w:ascii="Times New Roman" w:hAnsi="Times New Roman" w:cs="Times New Roman"/>
          <w:b/>
        </w:rPr>
      </w:pPr>
      <w:r w:rsidRPr="006C2187">
        <w:rPr>
          <w:rFonts w:ascii="Times New Roman" w:hAnsi="Times New Roman" w:cs="Times New Roman"/>
          <w:i/>
        </w:rPr>
        <w:t>Department Response</w:t>
      </w:r>
    </w:p>
    <w:p w:rsidR="00BF1699" w:rsidRDefault="00F17276" w:rsidP="00F17276">
      <w:pPr>
        <w:spacing w:after="120"/>
        <w:rPr>
          <w:sz w:val="22"/>
          <w:szCs w:val="22"/>
        </w:rPr>
      </w:pPr>
      <w:r>
        <w:rPr>
          <w:sz w:val="22"/>
          <w:szCs w:val="22"/>
        </w:rPr>
        <w:t xml:space="preserve">As stated in </w:t>
      </w:r>
      <w:r w:rsidR="00A11F9A">
        <w:rPr>
          <w:sz w:val="22"/>
          <w:szCs w:val="22"/>
        </w:rPr>
        <w:t>Title (</w:t>
      </w:r>
      <w:r w:rsidR="00F75608" w:rsidRPr="00F75608">
        <w:rPr>
          <w:sz w:val="22"/>
          <w:szCs w:val="22"/>
        </w:rPr>
        <w:t>§</w:t>
      </w:r>
      <w:r w:rsidR="00A11F9A">
        <w:rPr>
          <w:sz w:val="22"/>
          <w:szCs w:val="22"/>
        </w:rPr>
        <w:t xml:space="preserve">) </w:t>
      </w:r>
      <w:r w:rsidR="00F75608" w:rsidRPr="00F75608">
        <w:rPr>
          <w:sz w:val="22"/>
          <w:szCs w:val="22"/>
        </w:rPr>
        <w:t>40 CFR 60.42b(e)</w:t>
      </w:r>
      <w:r>
        <w:rPr>
          <w:sz w:val="22"/>
          <w:szCs w:val="22"/>
        </w:rPr>
        <w:t>, “</w:t>
      </w:r>
      <w:r w:rsidRPr="00F17276">
        <w:rPr>
          <w:i/>
          <w:sz w:val="22"/>
          <w:szCs w:val="22"/>
        </w:rPr>
        <w:t>Except as provided in paragraph (f) of this section, compliance with the emission limits, fuel oil sulfur limits, and/or percent reduction requirements under this section are determined on a 30-day rolling average basis</w:t>
      </w:r>
      <w:r>
        <w:rPr>
          <w:i/>
          <w:sz w:val="22"/>
          <w:szCs w:val="22"/>
        </w:rPr>
        <w:t>”</w:t>
      </w:r>
      <w:r>
        <w:rPr>
          <w:sz w:val="22"/>
          <w:szCs w:val="22"/>
        </w:rPr>
        <w:t>.  This require</w:t>
      </w:r>
      <w:r w:rsidR="00715429">
        <w:rPr>
          <w:sz w:val="22"/>
          <w:szCs w:val="22"/>
        </w:rPr>
        <w:t>d</w:t>
      </w:r>
      <w:r>
        <w:rPr>
          <w:sz w:val="22"/>
          <w:szCs w:val="22"/>
        </w:rPr>
        <w:t xml:space="preserve"> the daily monitoring of the fuel oil sulfur content when oil is fired in the auxiliary boiler in order to calculate the 30</w:t>
      </w:r>
      <w:r w:rsidR="0005393F">
        <w:rPr>
          <w:sz w:val="22"/>
          <w:szCs w:val="22"/>
        </w:rPr>
        <w:t>-</w:t>
      </w:r>
      <w:r>
        <w:rPr>
          <w:sz w:val="22"/>
          <w:szCs w:val="22"/>
        </w:rPr>
        <w:t>day rolling average</w:t>
      </w:r>
      <w:r w:rsidR="00814544">
        <w:rPr>
          <w:sz w:val="22"/>
          <w:szCs w:val="22"/>
        </w:rPr>
        <w:t xml:space="preserve"> for compliance purposes</w:t>
      </w:r>
      <w:r>
        <w:rPr>
          <w:sz w:val="22"/>
          <w:szCs w:val="22"/>
        </w:rPr>
        <w:t xml:space="preserve">.  However, </w:t>
      </w:r>
      <w:r w:rsidRPr="00F17276">
        <w:rPr>
          <w:sz w:val="22"/>
          <w:szCs w:val="22"/>
        </w:rPr>
        <w:t xml:space="preserve">§40 CFR 60.42b(f) </w:t>
      </w:r>
      <w:r>
        <w:rPr>
          <w:sz w:val="22"/>
          <w:szCs w:val="22"/>
        </w:rPr>
        <w:t>provides an except</w:t>
      </w:r>
      <w:r w:rsidR="00814544">
        <w:rPr>
          <w:sz w:val="22"/>
          <w:szCs w:val="22"/>
        </w:rPr>
        <w:t>ion</w:t>
      </w:r>
      <w:r>
        <w:rPr>
          <w:sz w:val="22"/>
          <w:szCs w:val="22"/>
        </w:rPr>
        <w:t xml:space="preserve"> to this daily sulfur content monitoring requirement </w:t>
      </w:r>
      <w:r w:rsidR="00814544">
        <w:rPr>
          <w:sz w:val="22"/>
          <w:szCs w:val="22"/>
        </w:rPr>
        <w:t xml:space="preserve">that is in </w:t>
      </w:r>
      <w:r w:rsidRPr="00F17276">
        <w:rPr>
          <w:sz w:val="22"/>
          <w:szCs w:val="22"/>
        </w:rPr>
        <w:t>§40 CFR 60.42b(j)(2)</w:t>
      </w:r>
      <w:r w:rsidR="00814544">
        <w:rPr>
          <w:sz w:val="22"/>
          <w:szCs w:val="22"/>
        </w:rPr>
        <w:t xml:space="preserve">.  In </w:t>
      </w:r>
      <w:r w:rsidR="00814544" w:rsidRPr="00814544">
        <w:rPr>
          <w:sz w:val="22"/>
          <w:szCs w:val="22"/>
        </w:rPr>
        <w:t>§40 CFR 60.42b(j)(2)</w:t>
      </w:r>
      <w:r w:rsidR="00814544">
        <w:rPr>
          <w:sz w:val="22"/>
          <w:szCs w:val="22"/>
        </w:rPr>
        <w:t>, for very low sulfur fuel, compliance with SO</w:t>
      </w:r>
      <w:r w:rsidR="00814544" w:rsidRPr="00814544">
        <w:rPr>
          <w:sz w:val="22"/>
          <w:szCs w:val="22"/>
          <w:vertAlign w:val="subscript"/>
        </w:rPr>
        <w:t>2</w:t>
      </w:r>
      <w:r w:rsidR="00814544">
        <w:rPr>
          <w:sz w:val="22"/>
          <w:szCs w:val="22"/>
        </w:rPr>
        <w:t xml:space="preserve"> emission limits and fuel sulfur content can be met by </w:t>
      </w:r>
      <w:r w:rsidR="00814544" w:rsidRPr="00814544">
        <w:rPr>
          <w:sz w:val="22"/>
          <w:szCs w:val="22"/>
        </w:rPr>
        <w:t>maintaining fuel records as described in §60.49b(r).</w:t>
      </w:r>
      <w:r w:rsidR="00814544">
        <w:rPr>
          <w:sz w:val="22"/>
          <w:szCs w:val="22"/>
        </w:rPr>
        <w:t xml:space="preserve">  Very low sulfur fuel is defined in </w:t>
      </w:r>
      <w:r w:rsidR="00814544" w:rsidRPr="00814544">
        <w:rPr>
          <w:sz w:val="22"/>
          <w:szCs w:val="22"/>
        </w:rPr>
        <w:t>§40 CFR 60.4</w:t>
      </w:r>
      <w:r w:rsidR="00814544">
        <w:rPr>
          <w:sz w:val="22"/>
          <w:szCs w:val="22"/>
        </w:rPr>
        <w:t>1</w:t>
      </w:r>
      <w:r w:rsidR="00814544" w:rsidRPr="00814544">
        <w:rPr>
          <w:sz w:val="22"/>
          <w:szCs w:val="22"/>
        </w:rPr>
        <w:t>b</w:t>
      </w:r>
      <w:r w:rsidR="00814544">
        <w:rPr>
          <w:sz w:val="22"/>
          <w:szCs w:val="22"/>
        </w:rPr>
        <w:t xml:space="preserve"> </w:t>
      </w:r>
      <w:r w:rsidR="00814544" w:rsidRPr="00814544">
        <w:rPr>
          <w:sz w:val="22"/>
          <w:szCs w:val="22"/>
        </w:rPr>
        <w:t>for units constructed, reconstructed, or modified on or before February 28, 2005</w:t>
      </w:r>
      <w:r w:rsidR="00814544">
        <w:rPr>
          <w:sz w:val="22"/>
          <w:szCs w:val="22"/>
        </w:rPr>
        <w:t xml:space="preserve"> as</w:t>
      </w:r>
      <w:r w:rsidR="00814544" w:rsidRPr="00814544">
        <w:rPr>
          <w:sz w:val="22"/>
          <w:szCs w:val="22"/>
        </w:rPr>
        <w:t xml:space="preserve"> oil that contains no more than 0.5 weight percent sulfur or that, when combusted without </w:t>
      </w:r>
      <w:r w:rsidR="00814544" w:rsidRPr="00BF1699">
        <w:rPr>
          <w:sz w:val="22"/>
          <w:szCs w:val="22"/>
        </w:rPr>
        <w:t>SO</w:t>
      </w:r>
      <w:r w:rsidR="00814544" w:rsidRPr="00BF1699">
        <w:rPr>
          <w:sz w:val="22"/>
          <w:szCs w:val="22"/>
          <w:vertAlign w:val="subscript"/>
        </w:rPr>
        <w:t>2</w:t>
      </w:r>
      <w:r w:rsidR="00BF1699">
        <w:rPr>
          <w:sz w:val="22"/>
          <w:szCs w:val="22"/>
        </w:rPr>
        <w:t xml:space="preserve"> </w:t>
      </w:r>
      <w:r w:rsidR="00814544" w:rsidRPr="00BF1699">
        <w:rPr>
          <w:sz w:val="22"/>
          <w:szCs w:val="22"/>
        </w:rPr>
        <w:t>emission</w:t>
      </w:r>
      <w:r w:rsidR="00814544" w:rsidRPr="00814544">
        <w:rPr>
          <w:sz w:val="22"/>
          <w:szCs w:val="22"/>
        </w:rPr>
        <w:t xml:space="preserve"> control, has a </w:t>
      </w:r>
      <w:r w:rsidR="00814544" w:rsidRPr="00BF1699">
        <w:rPr>
          <w:sz w:val="22"/>
          <w:szCs w:val="22"/>
        </w:rPr>
        <w:t>SO</w:t>
      </w:r>
      <w:r w:rsidR="00814544" w:rsidRPr="00BF1699">
        <w:rPr>
          <w:sz w:val="22"/>
          <w:szCs w:val="22"/>
          <w:vertAlign w:val="subscript"/>
        </w:rPr>
        <w:t>2</w:t>
      </w:r>
      <w:r w:rsidR="00BF1699">
        <w:rPr>
          <w:sz w:val="22"/>
          <w:szCs w:val="22"/>
        </w:rPr>
        <w:t xml:space="preserve"> </w:t>
      </w:r>
      <w:r w:rsidR="00814544" w:rsidRPr="00BF1699">
        <w:rPr>
          <w:sz w:val="22"/>
          <w:szCs w:val="22"/>
        </w:rPr>
        <w:t>emission</w:t>
      </w:r>
      <w:r w:rsidR="00814544" w:rsidRPr="00814544">
        <w:rPr>
          <w:sz w:val="22"/>
          <w:szCs w:val="22"/>
        </w:rPr>
        <w:t xml:space="preserve"> rate equal to or less than 215 </w:t>
      </w:r>
      <w:r w:rsidR="00BB1CDF">
        <w:rPr>
          <w:sz w:val="22"/>
          <w:szCs w:val="22"/>
        </w:rPr>
        <w:t>nanograms per joule (</w:t>
      </w:r>
      <w:r w:rsidR="00814544" w:rsidRPr="00814544">
        <w:rPr>
          <w:sz w:val="22"/>
          <w:szCs w:val="22"/>
        </w:rPr>
        <w:t>ng/J</w:t>
      </w:r>
      <w:r w:rsidR="00BB1CDF">
        <w:rPr>
          <w:sz w:val="22"/>
          <w:szCs w:val="22"/>
        </w:rPr>
        <w:t>) (0.5 pound</w:t>
      </w:r>
      <w:r w:rsidR="00814544" w:rsidRPr="00814544">
        <w:rPr>
          <w:sz w:val="22"/>
          <w:szCs w:val="22"/>
        </w:rPr>
        <w:t>/MMBtu) heat input.</w:t>
      </w:r>
      <w:r w:rsidR="00814544">
        <w:rPr>
          <w:sz w:val="22"/>
          <w:szCs w:val="22"/>
        </w:rPr>
        <w:t xml:space="preserve">  The auxiliary boiler at the Polk Power </w:t>
      </w:r>
      <w:r w:rsidR="003110BE">
        <w:rPr>
          <w:sz w:val="22"/>
          <w:szCs w:val="22"/>
        </w:rPr>
        <w:t>Station is limited to firing fuel oil with a maximum sulfur content of 0.05% by weight</w:t>
      </w:r>
      <w:r w:rsidR="00BF1699">
        <w:rPr>
          <w:sz w:val="22"/>
          <w:szCs w:val="22"/>
        </w:rPr>
        <w:t xml:space="preserve"> which meets the weight requirement and also meets the emission requirement as shown below </w:t>
      </w:r>
      <w:r w:rsidR="00715429">
        <w:rPr>
          <w:sz w:val="22"/>
          <w:szCs w:val="22"/>
        </w:rPr>
        <w:t xml:space="preserve">by </w:t>
      </w:r>
      <w:r w:rsidR="00BF1699">
        <w:rPr>
          <w:sz w:val="22"/>
          <w:szCs w:val="22"/>
        </w:rPr>
        <w:t xml:space="preserve">assuming a heat content </w:t>
      </w:r>
      <w:r w:rsidR="00715429">
        <w:rPr>
          <w:sz w:val="22"/>
          <w:szCs w:val="22"/>
        </w:rPr>
        <w:t>for</w:t>
      </w:r>
      <w:r w:rsidR="00BF1699">
        <w:rPr>
          <w:sz w:val="22"/>
          <w:szCs w:val="22"/>
        </w:rPr>
        <w:t xml:space="preserve"> No. 2 fuel oil</w:t>
      </w:r>
      <w:r w:rsidR="00942018">
        <w:rPr>
          <w:sz w:val="22"/>
          <w:szCs w:val="22"/>
        </w:rPr>
        <w:t xml:space="preserve"> (FO)</w:t>
      </w:r>
      <w:r w:rsidR="00BF1699">
        <w:rPr>
          <w:sz w:val="22"/>
          <w:szCs w:val="22"/>
        </w:rPr>
        <w:t xml:space="preserve"> of 19,673 Btu/lb.</w:t>
      </w:r>
    </w:p>
    <w:p w:rsidR="00F17276" w:rsidRPr="00700CC8" w:rsidRDefault="00942018" w:rsidP="00F17276">
      <w:pPr>
        <w:spacing w:after="120"/>
        <w:rPr>
          <w:sz w:val="22"/>
          <w:szCs w:val="22"/>
        </w:rPr>
      </w:pPr>
      <w:r w:rsidRPr="00700CC8">
        <w:rPr>
          <w:sz w:val="22"/>
          <w:szCs w:val="22"/>
        </w:rPr>
        <w:t>{(</w:t>
      </w:r>
      <w:r w:rsidR="00BF1699" w:rsidRPr="00700CC8">
        <w:rPr>
          <w:sz w:val="22"/>
          <w:szCs w:val="22"/>
        </w:rPr>
        <w:t>1,000,000</w:t>
      </w:r>
      <w:r w:rsidRPr="00700CC8">
        <w:rPr>
          <w:sz w:val="22"/>
          <w:szCs w:val="22"/>
        </w:rPr>
        <w:t xml:space="preserve"> Btu/hr) / (19,673 Btu </w:t>
      </w:r>
      <w:r w:rsidR="00700CC8" w:rsidRPr="00700CC8">
        <w:rPr>
          <w:sz w:val="22"/>
          <w:szCs w:val="22"/>
        </w:rPr>
        <w:t>FO</w:t>
      </w:r>
      <w:r w:rsidRPr="00700CC8">
        <w:rPr>
          <w:sz w:val="22"/>
          <w:szCs w:val="22"/>
        </w:rPr>
        <w:t xml:space="preserve">/lb)} x (0.0005 lb S/lb </w:t>
      </w:r>
      <w:r w:rsidR="00700CC8" w:rsidRPr="00700CC8">
        <w:rPr>
          <w:sz w:val="22"/>
          <w:szCs w:val="22"/>
        </w:rPr>
        <w:t>FO</w:t>
      </w:r>
      <w:r w:rsidRPr="00700CC8">
        <w:rPr>
          <w:sz w:val="22"/>
          <w:szCs w:val="22"/>
        </w:rPr>
        <w:t>) x 2 lb SO</w:t>
      </w:r>
      <w:r w:rsidRPr="00700CC8">
        <w:rPr>
          <w:sz w:val="22"/>
          <w:szCs w:val="22"/>
          <w:vertAlign w:val="subscript"/>
        </w:rPr>
        <w:t>2</w:t>
      </w:r>
      <w:r w:rsidRPr="00700CC8">
        <w:rPr>
          <w:sz w:val="22"/>
          <w:szCs w:val="22"/>
        </w:rPr>
        <w:t>/lb S) = 0.051 lb SO</w:t>
      </w:r>
      <w:r w:rsidRPr="00700CC8">
        <w:rPr>
          <w:sz w:val="22"/>
          <w:szCs w:val="22"/>
          <w:vertAlign w:val="subscript"/>
        </w:rPr>
        <w:t>2</w:t>
      </w:r>
      <w:r w:rsidRPr="00700CC8">
        <w:rPr>
          <w:sz w:val="22"/>
          <w:szCs w:val="22"/>
        </w:rPr>
        <w:t>/MMBtu</w:t>
      </w:r>
    </w:p>
    <w:p w:rsidR="00F17276" w:rsidRDefault="003110BE" w:rsidP="000C0E12">
      <w:pPr>
        <w:spacing w:after="120"/>
        <w:rPr>
          <w:sz w:val="22"/>
          <w:szCs w:val="22"/>
        </w:rPr>
      </w:pPr>
      <w:r w:rsidRPr="003110BE">
        <w:rPr>
          <w:sz w:val="22"/>
          <w:szCs w:val="22"/>
        </w:rPr>
        <w:t>§60.49b(r)</w:t>
      </w:r>
      <w:r>
        <w:rPr>
          <w:sz w:val="22"/>
          <w:szCs w:val="22"/>
        </w:rPr>
        <w:t xml:space="preserve"> states, </w:t>
      </w:r>
      <w:r w:rsidRPr="003110BE">
        <w:rPr>
          <w:i/>
          <w:sz w:val="22"/>
          <w:szCs w:val="22"/>
        </w:rPr>
        <w:t xml:space="preserve">“The owner or operator of an affected facility who elects to demonstrate that the affected facility combusts only very low sulfur oil, natural gas, wood, a mixture of these fuels, or any of these fuels (or a mixture of these fuels) in combination with other fuels that are known to contain an insignificant amount of sulfur in §60.42b(j) or §60.42b(k) shall obtain and maintain at the affected </w:t>
      </w:r>
      <w:r w:rsidRPr="003110BE">
        <w:rPr>
          <w:i/>
          <w:sz w:val="22"/>
          <w:szCs w:val="22"/>
        </w:rPr>
        <w:lastRenderedPageBreak/>
        <w:t>facility fuel receipts from the fuel supplier that certify that the oil meets the definition of distillate oil and gaseous fuel meets the definition of natural gas as defined in §60.41b and the applicable sulfur limit</w:t>
      </w:r>
      <w:r>
        <w:rPr>
          <w:sz w:val="22"/>
          <w:szCs w:val="22"/>
        </w:rPr>
        <w:t>”</w:t>
      </w:r>
      <w:r w:rsidRPr="003110BE">
        <w:rPr>
          <w:sz w:val="22"/>
          <w:szCs w:val="22"/>
        </w:rPr>
        <w:t>.</w:t>
      </w:r>
      <w:r>
        <w:rPr>
          <w:sz w:val="22"/>
          <w:szCs w:val="22"/>
        </w:rPr>
        <w:t xml:space="preserve">  </w:t>
      </w:r>
    </w:p>
    <w:p w:rsidR="009920A6" w:rsidRDefault="00165941" w:rsidP="000C0E12">
      <w:pPr>
        <w:spacing w:after="120"/>
        <w:rPr>
          <w:sz w:val="22"/>
          <w:szCs w:val="22"/>
        </w:rPr>
      </w:pPr>
      <w:r>
        <w:rPr>
          <w:sz w:val="22"/>
          <w:szCs w:val="22"/>
        </w:rPr>
        <w:t>T</w:t>
      </w:r>
      <w:r w:rsidR="007037AF">
        <w:rPr>
          <w:sz w:val="22"/>
          <w:szCs w:val="22"/>
        </w:rPr>
        <w:t>he Department agrees that daily sampling of the fuel oil for sulfur content</w:t>
      </w:r>
      <w:r w:rsidR="00336F24">
        <w:rPr>
          <w:sz w:val="22"/>
          <w:szCs w:val="22"/>
        </w:rPr>
        <w:t xml:space="preserve"> when fired in the auxiliary boiler</w:t>
      </w:r>
      <w:r w:rsidR="007037AF">
        <w:rPr>
          <w:sz w:val="22"/>
          <w:szCs w:val="22"/>
        </w:rPr>
        <w:t xml:space="preserve"> is not required</w:t>
      </w:r>
      <w:r>
        <w:rPr>
          <w:sz w:val="22"/>
          <w:szCs w:val="22"/>
        </w:rPr>
        <w:t xml:space="preserve"> to meet the fuel oil sulfur monitoring requirements of NSPS Subpart Db </w:t>
      </w:r>
      <w:r w:rsidR="00BB1CDF">
        <w:rPr>
          <w:sz w:val="22"/>
          <w:szCs w:val="22"/>
        </w:rPr>
        <w:t>as</w:t>
      </w:r>
      <w:r>
        <w:rPr>
          <w:sz w:val="22"/>
          <w:szCs w:val="22"/>
        </w:rPr>
        <w:t xml:space="preserve"> long </w:t>
      </w:r>
      <w:r w:rsidR="007773E0">
        <w:rPr>
          <w:sz w:val="22"/>
          <w:szCs w:val="22"/>
        </w:rPr>
        <w:t>a</w:t>
      </w:r>
      <w:r w:rsidR="00BB1CDF">
        <w:rPr>
          <w:sz w:val="22"/>
          <w:szCs w:val="22"/>
        </w:rPr>
        <w:t>s a</w:t>
      </w:r>
      <w:r w:rsidR="007773E0">
        <w:rPr>
          <w:sz w:val="22"/>
          <w:szCs w:val="22"/>
        </w:rPr>
        <w:t xml:space="preserve"> vendor certification of fuel </w:t>
      </w:r>
      <w:r>
        <w:rPr>
          <w:sz w:val="22"/>
          <w:szCs w:val="22"/>
        </w:rPr>
        <w:t>oil deliveries show that the oil meets the 0.05% sulfur content by weight requirement</w:t>
      </w:r>
      <w:r w:rsidR="007037AF">
        <w:rPr>
          <w:sz w:val="22"/>
          <w:szCs w:val="22"/>
        </w:rPr>
        <w:t xml:space="preserve">.  </w:t>
      </w:r>
      <w:r w:rsidR="0005393F">
        <w:rPr>
          <w:sz w:val="22"/>
          <w:szCs w:val="22"/>
        </w:rPr>
        <w:t xml:space="preserve">As requested </w:t>
      </w:r>
      <w:r w:rsidR="0070307C">
        <w:rPr>
          <w:sz w:val="22"/>
          <w:szCs w:val="22"/>
        </w:rPr>
        <w:t>by the applicant, i</w:t>
      </w:r>
      <w:r w:rsidR="007773E0">
        <w:rPr>
          <w:sz w:val="22"/>
          <w:szCs w:val="22"/>
        </w:rPr>
        <w:t xml:space="preserve">n lieu of vendor certification, the Department will allow </w:t>
      </w:r>
      <w:r w:rsidR="007037AF">
        <w:rPr>
          <w:sz w:val="22"/>
          <w:szCs w:val="22"/>
        </w:rPr>
        <w:t xml:space="preserve">the </w:t>
      </w:r>
      <w:r w:rsidR="009920A6">
        <w:rPr>
          <w:sz w:val="22"/>
          <w:szCs w:val="22"/>
        </w:rPr>
        <w:t xml:space="preserve">fuel oil </w:t>
      </w:r>
      <w:r w:rsidR="007037AF">
        <w:rPr>
          <w:sz w:val="22"/>
          <w:szCs w:val="22"/>
        </w:rPr>
        <w:t xml:space="preserve">sulfur </w:t>
      </w:r>
      <w:r w:rsidR="009920A6">
        <w:rPr>
          <w:sz w:val="22"/>
          <w:szCs w:val="22"/>
        </w:rPr>
        <w:t xml:space="preserve">content </w:t>
      </w:r>
      <w:r w:rsidR="007037AF">
        <w:rPr>
          <w:sz w:val="22"/>
          <w:szCs w:val="22"/>
        </w:rPr>
        <w:t xml:space="preserve">to be measured </w:t>
      </w:r>
      <w:r w:rsidR="009920A6">
        <w:rPr>
          <w:sz w:val="22"/>
          <w:szCs w:val="22"/>
        </w:rPr>
        <w:t xml:space="preserve">by a </w:t>
      </w:r>
      <w:r w:rsidR="009920A6" w:rsidRPr="009920A6">
        <w:rPr>
          <w:sz w:val="22"/>
          <w:szCs w:val="22"/>
        </w:rPr>
        <w:t>monthly composite sample</w:t>
      </w:r>
      <w:r w:rsidR="00DC4683">
        <w:rPr>
          <w:sz w:val="22"/>
          <w:szCs w:val="22"/>
        </w:rPr>
        <w:t xml:space="preserve"> of fuel oil deliveries to the storage tanks</w:t>
      </w:r>
      <w:r w:rsidR="007037AF">
        <w:rPr>
          <w:sz w:val="22"/>
          <w:szCs w:val="22"/>
        </w:rPr>
        <w:t>.</w:t>
      </w:r>
      <w:r w:rsidR="007773E0">
        <w:rPr>
          <w:sz w:val="22"/>
          <w:szCs w:val="22"/>
        </w:rPr>
        <w:t xml:space="preserve">  </w:t>
      </w:r>
    </w:p>
    <w:p w:rsidR="000C0E12" w:rsidRDefault="007773E0" w:rsidP="000C0E12">
      <w:pPr>
        <w:spacing w:after="120"/>
        <w:rPr>
          <w:sz w:val="22"/>
          <w:szCs w:val="22"/>
        </w:rPr>
      </w:pPr>
      <w:r w:rsidRPr="007773E0">
        <w:rPr>
          <w:sz w:val="22"/>
          <w:szCs w:val="22"/>
        </w:rPr>
        <w:t xml:space="preserve">The </w:t>
      </w:r>
      <w:r w:rsidR="009157EF">
        <w:rPr>
          <w:sz w:val="22"/>
          <w:szCs w:val="22"/>
        </w:rPr>
        <w:t xml:space="preserve">new “clean” </w:t>
      </w:r>
      <w:r w:rsidRPr="007773E0">
        <w:rPr>
          <w:sz w:val="22"/>
          <w:szCs w:val="22"/>
        </w:rPr>
        <w:t xml:space="preserve">PSD </w:t>
      </w:r>
      <w:r w:rsidR="009157EF">
        <w:rPr>
          <w:sz w:val="22"/>
          <w:szCs w:val="22"/>
        </w:rPr>
        <w:t xml:space="preserve">permit for Unit 1 (PSD-FL-194J) will </w:t>
      </w:r>
      <w:r w:rsidR="005D078A">
        <w:rPr>
          <w:sz w:val="22"/>
          <w:szCs w:val="22"/>
        </w:rPr>
        <w:t>include</w:t>
      </w:r>
      <w:r w:rsidR="009157EF">
        <w:rPr>
          <w:sz w:val="22"/>
          <w:szCs w:val="22"/>
        </w:rPr>
        <w:t xml:space="preserve"> this new fuel oil sulfur monitoring procedure and the allowance </w:t>
      </w:r>
      <w:r w:rsidR="003B6828">
        <w:rPr>
          <w:sz w:val="22"/>
          <w:szCs w:val="22"/>
        </w:rPr>
        <w:t>for</w:t>
      </w:r>
      <w:r w:rsidR="009157EF">
        <w:rPr>
          <w:sz w:val="22"/>
          <w:szCs w:val="22"/>
        </w:rPr>
        <w:t xml:space="preserve"> vendor certification.  </w:t>
      </w:r>
      <w:r w:rsidR="00700CC8">
        <w:rPr>
          <w:sz w:val="22"/>
          <w:szCs w:val="22"/>
        </w:rPr>
        <w:t>In addition</w:t>
      </w:r>
      <w:r w:rsidR="009B0AA3">
        <w:rPr>
          <w:sz w:val="22"/>
          <w:szCs w:val="22"/>
        </w:rPr>
        <w:t>,</w:t>
      </w:r>
      <w:r w:rsidR="00700CC8">
        <w:rPr>
          <w:sz w:val="22"/>
          <w:szCs w:val="22"/>
        </w:rPr>
        <w:t xml:space="preserve"> </w:t>
      </w:r>
      <w:r w:rsidR="009157EF">
        <w:rPr>
          <w:sz w:val="22"/>
          <w:szCs w:val="22"/>
        </w:rPr>
        <w:t xml:space="preserve">in the new PSD permit for </w:t>
      </w:r>
      <w:r w:rsidR="00A1478D">
        <w:rPr>
          <w:sz w:val="22"/>
          <w:szCs w:val="22"/>
        </w:rPr>
        <w:t>U</w:t>
      </w:r>
      <w:r w:rsidR="009157EF">
        <w:rPr>
          <w:sz w:val="22"/>
          <w:szCs w:val="22"/>
        </w:rPr>
        <w:t xml:space="preserve">nit 1, </w:t>
      </w:r>
      <w:r w:rsidR="00700CC8">
        <w:rPr>
          <w:sz w:val="22"/>
          <w:szCs w:val="22"/>
        </w:rPr>
        <w:t>the requirement for SO</w:t>
      </w:r>
      <w:r w:rsidR="00700CC8" w:rsidRPr="00700CC8">
        <w:rPr>
          <w:sz w:val="22"/>
          <w:szCs w:val="22"/>
          <w:vertAlign w:val="subscript"/>
        </w:rPr>
        <w:t>2</w:t>
      </w:r>
      <w:r w:rsidR="00700CC8">
        <w:rPr>
          <w:sz w:val="22"/>
          <w:szCs w:val="22"/>
        </w:rPr>
        <w:t xml:space="preserve"> emission testing for the auxiliary boiler will be removed </w:t>
      </w:r>
      <w:r w:rsidR="007367E7">
        <w:rPr>
          <w:sz w:val="22"/>
          <w:szCs w:val="22"/>
        </w:rPr>
        <w:t>along with</w:t>
      </w:r>
      <w:r w:rsidR="0005393F">
        <w:rPr>
          <w:sz w:val="22"/>
          <w:szCs w:val="22"/>
        </w:rPr>
        <w:t xml:space="preserve"> the 30-</w:t>
      </w:r>
      <w:r w:rsidR="007367E7">
        <w:rPr>
          <w:sz w:val="22"/>
          <w:szCs w:val="22"/>
        </w:rPr>
        <w:t xml:space="preserve">day averaging time </w:t>
      </w:r>
      <w:r w:rsidR="00700CC8">
        <w:rPr>
          <w:sz w:val="22"/>
          <w:szCs w:val="22"/>
        </w:rPr>
        <w:t xml:space="preserve">since the </w:t>
      </w:r>
      <w:r w:rsidR="00302012">
        <w:rPr>
          <w:sz w:val="22"/>
          <w:szCs w:val="22"/>
        </w:rPr>
        <w:t xml:space="preserve">current </w:t>
      </w:r>
      <w:r w:rsidR="00700CC8">
        <w:rPr>
          <w:sz w:val="22"/>
          <w:szCs w:val="22"/>
        </w:rPr>
        <w:t>BACT emission limit of 0.80 lb SO</w:t>
      </w:r>
      <w:r w:rsidR="00700CC8" w:rsidRPr="00700CC8">
        <w:rPr>
          <w:sz w:val="22"/>
          <w:szCs w:val="22"/>
          <w:vertAlign w:val="subscript"/>
        </w:rPr>
        <w:t>2</w:t>
      </w:r>
      <w:r w:rsidR="00700CC8">
        <w:rPr>
          <w:sz w:val="22"/>
          <w:szCs w:val="22"/>
        </w:rPr>
        <w:t xml:space="preserve">/MMBtu is </w:t>
      </w:r>
      <w:r w:rsidR="00336F24">
        <w:rPr>
          <w:sz w:val="22"/>
          <w:szCs w:val="22"/>
        </w:rPr>
        <w:t>more than a</w:t>
      </w:r>
      <w:r w:rsidR="009B0AA3">
        <w:rPr>
          <w:sz w:val="22"/>
          <w:szCs w:val="22"/>
        </w:rPr>
        <w:t>n</w:t>
      </w:r>
      <w:r w:rsidR="00700CC8">
        <w:rPr>
          <w:sz w:val="22"/>
          <w:szCs w:val="22"/>
        </w:rPr>
        <w:t xml:space="preserve"> order of magnitude higher than the theoretical </w:t>
      </w:r>
      <w:r w:rsidR="005A153D">
        <w:rPr>
          <w:sz w:val="22"/>
          <w:szCs w:val="22"/>
        </w:rPr>
        <w:t xml:space="preserve">maximum </w:t>
      </w:r>
      <w:r w:rsidR="00700CC8">
        <w:rPr>
          <w:sz w:val="22"/>
          <w:szCs w:val="22"/>
        </w:rPr>
        <w:t>SO</w:t>
      </w:r>
      <w:r w:rsidR="00700CC8" w:rsidRPr="00700CC8">
        <w:rPr>
          <w:sz w:val="22"/>
          <w:szCs w:val="22"/>
          <w:vertAlign w:val="subscript"/>
        </w:rPr>
        <w:t>2</w:t>
      </w:r>
      <w:r w:rsidR="00700CC8">
        <w:rPr>
          <w:sz w:val="22"/>
          <w:szCs w:val="22"/>
        </w:rPr>
        <w:t xml:space="preserve"> emissions from the boiler.  </w:t>
      </w:r>
      <w:r w:rsidR="009B0AA3">
        <w:rPr>
          <w:sz w:val="22"/>
          <w:szCs w:val="22"/>
        </w:rPr>
        <w:t xml:space="preserve">The 0.80 lb/MMBtu limit is a requirement of </w:t>
      </w:r>
      <w:r w:rsidR="009B0AA3" w:rsidRPr="009B0AA3">
        <w:rPr>
          <w:sz w:val="22"/>
          <w:szCs w:val="22"/>
        </w:rPr>
        <w:t>§60.42b(a) &amp; (j)</w:t>
      </w:r>
      <w:r w:rsidR="009B0AA3">
        <w:rPr>
          <w:sz w:val="22"/>
          <w:szCs w:val="22"/>
        </w:rPr>
        <w:t xml:space="preserve"> which are no longer applicable </w:t>
      </w:r>
      <w:r w:rsidR="00A1478D">
        <w:rPr>
          <w:sz w:val="22"/>
          <w:szCs w:val="22"/>
        </w:rPr>
        <w:t>due</w:t>
      </w:r>
      <w:r w:rsidR="009B0AA3">
        <w:rPr>
          <w:sz w:val="22"/>
          <w:szCs w:val="22"/>
        </w:rPr>
        <w:t xml:space="preserve"> to the very low sulfur fuel oil records requirements of </w:t>
      </w:r>
      <w:r w:rsidR="009B0AA3" w:rsidRPr="009B0AA3">
        <w:rPr>
          <w:sz w:val="22"/>
          <w:szCs w:val="22"/>
        </w:rPr>
        <w:t>§60.49b(r)</w:t>
      </w:r>
      <w:r w:rsidR="009B0AA3">
        <w:rPr>
          <w:sz w:val="22"/>
          <w:szCs w:val="22"/>
        </w:rPr>
        <w:t>.</w:t>
      </w:r>
    </w:p>
    <w:p w:rsidR="00945580" w:rsidRPr="006547D7" w:rsidRDefault="00FA02AE" w:rsidP="00F9414C">
      <w:pPr>
        <w:pStyle w:val="ListParagraph"/>
        <w:numPr>
          <w:ilvl w:val="0"/>
          <w:numId w:val="28"/>
        </w:numPr>
        <w:spacing w:after="120"/>
        <w:ind w:hanging="720"/>
        <w:contextualSpacing w:val="0"/>
        <w:rPr>
          <w:rFonts w:ascii="Times New Roman" w:hAnsi="Times New Roman" w:cs="Times New Roman"/>
        </w:rPr>
      </w:pPr>
      <w:r w:rsidRPr="008B469F">
        <w:rPr>
          <w:rFonts w:ascii="Times New Roman" w:hAnsi="Times New Roman" w:cs="Times New Roman"/>
          <w:u w:val="single"/>
        </w:rPr>
        <w:t>Permitted Capacity of Solid Fuels Gasification Plant (EU 006)</w:t>
      </w:r>
    </w:p>
    <w:p w:rsidR="00EE7E1C" w:rsidRPr="008B469F" w:rsidRDefault="0057190E" w:rsidP="00F9414C">
      <w:pPr>
        <w:pStyle w:val="ListParagraph"/>
        <w:numPr>
          <w:ilvl w:val="0"/>
          <w:numId w:val="29"/>
        </w:numPr>
        <w:spacing w:after="120"/>
        <w:ind w:hanging="720"/>
        <w:contextualSpacing w:val="0"/>
        <w:rPr>
          <w:rFonts w:ascii="Times New Roman" w:hAnsi="Times New Roman" w:cs="Times New Roman"/>
          <w:b/>
        </w:rPr>
      </w:pPr>
      <w:r>
        <w:rPr>
          <w:rFonts w:ascii="Times New Roman" w:eastAsia="Times New Roman" w:hAnsi="Times New Roman" w:cs="Times New Roman"/>
          <w:i/>
        </w:rPr>
        <w:t>Applicant</w:t>
      </w:r>
      <w:r w:rsidR="00EE7E1C">
        <w:rPr>
          <w:rFonts w:ascii="Times New Roman" w:eastAsia="Times New Roman" w:hAnsi="Times New Roman" w:cs="Times New Roman"/>
          <w:i/>
        </w:rPr>
        <w:t xml:space="preserve"> R</w:t>
      </w:r>
      <w:r w:rsidR="00EE7E1C" w:rsidRPr="00EE7E1C">
        <w:rPr>
          <w:rFonts w:ascii="Times New Roman" w:eastAsia="Times New Roman" w:hAnsi="Times New Roman" w:cs="Times New Roman"/>
          <w:i/>
        </w:rPr>
        <w:t>equest</w:t>
      </w:r>
    </w:p>
    <w:p w:rsidR="003B6828" w:rsidRDefault="00EE7E1C" w:rsidP="00EE7E1C">
      <w:pPr>
        <w:pStyle w:val="ListParagraph"/>
        <w:spacing w:after="120" w:line="240" w:lineRule="auto"/>
        <w:ind w:left="0"/>
        <w:contextualSpacing w:val="0"/>
        <w:rPr>
          <w:rFonts w:ascii="Times New Roman" w:eastAsia="Times New Roman" w:hAnsi="Times New Roman" w:cs="Times New Roman"/>
        </w:rPr>
      </w:pPr>
      <w:r w:rsidRPr="00EE7E1C">
        <w:rPr>
          <w:rFonts w:ascii="Times New Roman" w:eastAsia="Times New Roman" w:hAnsi="Times New Roman" w:cs="Times New Roman"/>
        </w:rPr>
        <w:t xml:space="preserve">The applicant requests that </w:t>
      </w:r>
      <w:r w:rsidR="00C31A09">
        <w:rPr>
          <w:rFonts w:ascii="Times New Roman" w:eastAsia="Times New Roman" w:hAnsi="Times New Roman" w:cs="Times New Roman"/>
        </w:rPr>
        <w:t>under authorized fuels that the</w:t>
      </w:r>
      <w:r w:rsidRPr="00EE7E1C">
        <w:rPr>
          <w:rFonts w:ascii="Times New Roman" w:eastAsia="Times New Roman" w:hAnsi="Times New Roman" w:cs="Times New Roman"/>
        </w:rPr>
        <w:t xml:space="preserve"> limits for tons per day of petcoke and total ton</w:t>
      </w:r>
      <w:r w:rsidR="0057190E">
        <w:rPr>
          <w:rFonts w:ascii="Times New Roman" w:eastAsia="Times New Roman" w:hAnsi="Times New Roman" w:cs="Times New Roman"/>
        </w:rPr>
        <w:t>s</w:t>
      </w:r>
      <w:r w:rsidRPr="00EE7E1C">
        <w:rPr>
          <w:rFonts w:ascii="Times New Roman" w:eastAsia="Times New Roman" w:hAnsi="Times New Roman" w:cs="Times New Roman"/>
        </w:rPr>
        <w:t xml:space="preserve"> per day of fe</w:t>
      </w:r>
      <w:r w:rsidR="0057190E">
        <w:rPr>
          <w:rFonts w:ascii="Times New Roman" w:eastAsia="Times New Roman" w:hAnsi="Times New Roman" w:cs="Times New Roman"/>
        </w:rPr>
        <w:t>e</w:t>
      </w:r>
      <w:r w:rsidRPr="00EE7E1C">
        <w:rPr>
          <w:rFonts w:ascii="Times New Roman" w:eastAsia="Times New Roman" w:hAnsi="Times New Roman" w:cs="Times New Roman"/>
        </w:rPr>
        <w:t>d to the solid fuel gasification plant be removed and only the 85% coal/petcoke blend limitation remain.</w:t>
      </w:r>
      <w:r w:rsidR="00C31A09">
        <w:rPr>
          <w:rFonts w:ascii="Times New Roman" w:eastAsia="Times New Roman" w:hAnsi="Times New Roman" w:cs="Times New Roman"/>
        </w:rPr>
        <w:t xml:space="preserve">  </w:t>
      </w:r>
      <w:r w:rsidR="00C31A09" w:rsidRPr="00C31A09">
        <w:rPr>
          <w:rFonts w:ascii="Times New Roman" w:eastAsia="Times New Roman" w:hAnsi="Times New Roman" w:cs="Times New Roman"/>
        </w:rPr>
        <w:t xml:space="preserve">The applicant </w:t>
      </w:r>
      <w:r w:rsidR="00C31A09">
        <w:rPr>
          <w:rFonts w:ascii="Times New Roman" w:eastAsia="Times New Roman" w:hAnsi="Times New Roman" w:cs="Times New Roman"/>
        </w:rPr>
        <w:t xml:space="preserve">also </w:t>
      </w:r>
      <w:r w:rsidR="00C31A09" w:rsidRPr="00C31A09">
        <w:rPr>
          <w:rFonts w:ascii="Times New Roman" w:eastAsia="Times New Roman" w:hAnsi="Times New Roman" w:cs="Times New Roman"/>
        </w:rPr>
        <w:t xml:space="preserve">requests that the petcoke tonnage limit be removed from the </w:t>
      </w:r>
      <w:r w:rsidR="00C31A09">
        <w:rPr>
          <w:rFonts w:ascii="Times New Roman" w:eastAsia="Times New Roman" w:hAnsi="Times New Roman" w:cs="Times New Roman"/>
        </w:rPr>
        <w:t>recordkeeping requirements</w:t>
      </w:r>
      <w:r w:rsidR="00C31A09" w:rsidRPr="00C31A09">
        <w:rPr>
          <w:rFonts w:ascii="Times New Roman" w:eastAsia="Times New Roman" w:hAnsi="Times New Roman" w:cs="Times New Roman"/>
        </w:rPr>
        <w:t>.</w:t>
      </w:r>
    </w:p>
    <w:p w:rsidR="00256F53" w:rsidRPr="008B469F" w:rsidRDefault="00256F53" w:rsidP="00F9414C">
      <w:pPr>
        <w:pStyle w:val="ListParagraph"/>
        <w:numPr>
          <w:ilvl w:val="0"/>
          <w:numId w:val="30"/>
        </w:numPr>
        <w:spacing w:after="120"/>
        <w:ind w:hanging="720"/>
        <w:contextualSpacing w:val="0"/>
        <w:rPr>
          <w:rFonts w:ascii="Times New Roman" w:hAnsi="Times New Roman" w:cs="Times New Roman"/>
          <w:b/>
        </w:rPr>
      </w:pPr>
      <w:r w:rsidRPr="00C31A09">
        <w:rPr>
          <w:rFonts w:ascii="Times New Roman" w:hAnsi="Times New Roman" w:cs="Times New Roman"/>
          <w:i/>
          <w:color w:val="262626"/>
        </w:rPr>
        <w:t>Department Response</w:t>
      </w:r>
    </w:p>
    <w:p w:rsidR="00C31A09" w:rsidRPr="00C31A09" w:rsidRDefault="00256F53" w:rsidP="009A1E14">
      <w:pPr>
        <w:widowControl w:val="0"/>
        <w:spacing w:after="80"/>
        <w:rPr>
          <w:color w:val="262626"/>
          <w:sz w:val="22"/>
          <w:szCs w:val="22"/>
        </w:rPr>
      </w:pPr>
      <w:r w:rsidRPr="00C31A09">
        <w:rPr>
          <w:color w:val="262626"/>
          <w:sz w:val="22"/>
          <w:szCs w:val="22"/>
        </w:rPr>
        <w:t xml:space="preserve">Since 85% of the total weight limit </w:t>
      </w:r>
      <w:r w:rsidR="002D6DD4" w:rsidRPr="00C31A09">
        <w:rPr>
          <w:color w:val="262626"/>
          <w:sz w:val="22"/>
          <w:szCs w:val="22"/>
        </w:rPr>
        <w:t xml:space="preserve">of 2,325 tons per day </w:t>
      </w:r>
      <w:r w:rsidR="004577CD" w:rsidRPr="00C31A09">
        <w:rPr>
          <w:color w:val="262626"/>
          <w:sz w:val="22"/>
          <w:szCs w:val="22"/>
        </w:rPr>
        <w:t xml:space="preserve">of coal/petcoke fed </w:t>
      </w:r>
      <w:r w:rsidR="002D6DD4" w:rsidRPr="00C31A09">
        <w:rPr>
          <w:color w:val="262626"/>
          <w:sz w:val="22"/>
          <w:szCs w:val="22"/>
        </w:rPr>
        <w:t>to solid fuel gasification plant</w:t>
      </w:r>
      <w:r w:rsidRPr="00C31A09">
        <w:rPr>
          <w:color w:val="262626"/>
          <w:sz w:val="22"/>
          <w:szCs w:val="22"/>
        </w:rPr>
        <w:t xml:space="preserve"> </w:t>
      </w:r>
      <w:r w:rsidR="002D6DD4" w:rsidRPr="00C31A09">
        <w:rPr>
          <w:color w:val="262626"/>
          <w:sz w:val="22"/>
          <w:szCs w:val="22"/>
        </w:rPr>
        <w:t>equals the</w:t>
      </w:r>
      <w:r w:rsidRPr="00C31A09">
        <w:rPr>
          <w:color w:val="262626"/>
          <w:sz w:val="22"/>
          <w:szCs w:val="22"/>
        </w:rPr>
        <w:t xml:space="preserve"> 1,976 tons per day of petcoke </w:t>
      </w:r>
      <w:r w:rsidR="002D6DD4" w:rsidRPr="00C31A09">
        <w:rPr>
          <w:color w:val="262626"/>
          <w:sz w:val="22"/>
          <w:szCs w:val="22"/>
        </w:rPr>
        <w:t xml:space="preserve">limit, the </w:t>
      </w:r>
      <w:r w:rsidR="00DE5237" w:rsidRPr="00C31A09">
        <w:rPr>
          <w:color w:val="262626"/>
          <w:sz w:val="22"/>
          <w:szCs w:val="22"/>
        </w:rPr>
        <w:t xml:space="preserve">petcoke </w:t>
      </w:r>
      <w:r w:rsidR="002D6DD4" w:rsidRPr="00C31A09">
        <w:rPr>
          <w:color w:val="262626"/>
          <w:sz w:val="22"/>
          <w:szCs w:val="22"/>
        </w:rPr>
        <w:t>weight limit is redundant</w:t>
      </w:r>
      <w:r w:rsidR="007675AB">
        <w:rPr>
          <w:color w:val="262626"/>
          <w:sz w:val="22"/>
          <w:szCs w:val="22"/>
        </w:rPr>
        <w:t xml:space="preserve"> and </w:t>
      </w:r>
      <w:r w:rsidR="0057190E">
        <w:rPr>
          <w:color w:val="262626"/>
          <w:sz w:val="22"/>
          <w:szCs w:val="22"/>
        </w:rPr>
        <w:t xml:space="preserve">can </w:t>
      </w:r>
      <w:r w:rsidR="007675AB">
        <w:rPr>
          <w:color w:val="262626"/>
          <w:sz w:val="22"/>
          <w:szCs w:val="22"/>
        </w:rPr>
        <w:t>be removed</w:t>
      </w:r>
      <w:r w:rsidRPr="00C31A09">
        <w:rPr>
          <w:color w:val="262626"/>
          <w:sz w:val="22"/>
          <w:szCs w:val="22"/>
        </w:rPr>
        <w:t xml:space="preserve">.  </w:t>
      </w:r>
      <w:r w:rsidR="007675AB">
        <w:rPr>
          <w:color w:val="262626"/>
          <w:sz w:val="22"/>
          <w:szCs w:val="22"/>
        </w:rPr>
        <w:t>In addition, t</w:t>
      </w:r>
      <w:r w:rsidR="009A3E6D" w:rsidRPr="00C31A09">
        <w:rPr>
          <w:color w:val="262626"/>
          <w:sz w:val="22"/>
          <w:szCs w:val="22"/>
        </w:rPr>
        <w:t xml:space="preserve">he </w:t>
      </w:r>
      <w:r w:rsidR="002D6DD4" w:rsidRPr="00C31A09">
        <w:rPr>
          <w:color w:val="262626"/>
          <w:sz w:val="22"/>
          <w:szCs w:val="22"/>
        </w:rPr>
        <w:t xml:space="preserve">current permitted capacity for the solid fuel gasification system of 2,325 tons per day </w:t>
      </w:r>
      <w:r w:rsidR="00BB1CDF" w:rsidRPr="00C31A09">
        <w:rPr>
          <w:color w:val="262626"/>
          <w:sz w:val="22"/>
          <w:szCs w:val="22"/>
        </w:rPr>
        <w:t xml:space="preserve">will </w:t>
      </w:r>
      <w:r w:rsidR="00104F2C">
        <w:rPr>
          <w:color w:val="262626"/>
          <w:sz w:val="22"/>
          <w:szCs w:val="22"/>
        </w:rPr>
        <w:t xml:space="preserve">now </w:t>
      </w:r>
      <w:r w:rsidR="00BB1CDF" w:rsidRPr="00C31A09">
        <w:rPr>
          <w:color w:val="262626"/>
          <w:sz w:val="22"/>
          <w:szCs w:val="22"/>
        </w:rPr>
        <w:t xml:space="preserve">be </w:t>
      </w:r>
      <w:r w:rsidR="00104F2C">
        <w:rPr>
          <w:color w:val="262626"/>
          <w:sz w:val="22"/>
          <w:szCs w:val="22"/>
        </w:rPr>
        <w:t>reflected in a permitting note</w:t>
      </w:r>
      <w:r w:rsidRPr="00C31A09">
        <w:rPr>
          <w:color w:val="262626"/>
          <w:sz w:val="22"/>
          <w:szCs w:val="22"/>
        </w:rPr>
        <w:t>.</w:t>
      </w:r>
      <w:r w:rsidR="00C31A09" w:rsidRPr="00C31A09">
        <w:rPr>
          <w:color w:val="262626"/>
          <w:sz w:val="22"/>
          <w:szCs w:val="22"/>
        </w:rPr>
        <w:t xml:space="preserve">  The Department </w:t>
      </w:r>
      <w:r w:rsidR="00C31A09">
        <w:rPr>
          <w:color w:val="262626"/>
          <w:sz w:val="22"/>
          <w:szCs w:val="22"/>
        </w:rPr>
        <w:t xml:space="preserve">also </w:t>
      </w:r>
      <w:r w:rsidR="00C31A09" w:rsidRPr="00C31A09">
        <w:rPr>
          <w:color w:val="262626"/>
          <w:sz w:val="22"/>
          <w:szCs w:val="22"/>
        </w:rPr>
        <w:t>agrees</w:t>
      </w:r>
      <w:r w:rsidR="00C31A09">
        <w:rPr>
          <w:color w:val="262626"/>
          <w:sz w:val="22"/>
          <w:szCs w:val="22"/>
        </w:rPr>
        <w:t xml:space="preserve"> that the recordkeeping requirement should be changed t</w:t>
      </w:r>
      <w:r w:rsidR="00C31A09" w:rsidRPr="00C31A09">
        <w:rPr>
          <w:color w:val="262626"/>
          <w:sz w:val="22"/>
          <w:szCs w:val="22"/>
        </w:rPr>
        <w:t xml:space="preserve">o come into conformity with the new </w:t>
      </w:r>
      <w:r w:rsidR="00C31A09">
        <w:rPr>
          <w:color w:val="262626"/>
          <w:sz w:val="22"/>
          <w:szCs w:val="22"/>
        </w:rPr>
        <w:t>authorized fuels requirement</w:t>
      </w:r>
      <w:r w:rsidR="005A153D">
        <w:rPr>
          <w:color w:val="262626"/>
          <w:sz w:val="22"/>
          <w:szCs w:val="22"/>
        </w:rPr>
        <w:t xml:space="preserve"> </w:t>
      </w:r>
      <w:r w:rsidR="00A1478D">
        <w:rPr>
          <w:color w:val="262626"/>
          <w:sz w:val="22"/>
          <w:szCs w:val="22"/>
        </w:rPr>
        <w:t xml:space="preserve">with only the total daily </w:t>
      </w:r>
      <w:r w:rsidR="00302012">
        <w:rPr>
          <w:color w:val="262626"/>
          <w:sz w:val="22"/>
          <w:szCs w:val="22"/>
        </w:rPr>
        <w:t xml:space="preserve">total </w:t>
      </w:r>
      <w:r w:rsidR="00A1478D">
        <w:rPr>
          <w:color w:val="262626"/>
          <w:sz w:val="22"/>
          <w:szCs w:val="22"/>
        </w:rPr>
        <w:t xml:space="preserve">tonnage of solid fuel to the gasifier required </w:t>
      </w:r>
      <w:r w:rsidR="005A153D">
        <w:rPr>
          <w:color w:val="262626"/>
          <w:sz w:val="22"/>
          <w:szCs w:val="22"/>
        </w:rPr>
        <w:t>and will make the appropriate changes</w:t>
      </w:r>
      <w:r w:rsidR="00C31A09" w:rsidRPr="00C31A09">
        <w:rPr>
          <w:color w:val="262626"/>
          <w:sz w:val="22"/>
          <w:szCs w:val="22"/>
        </w:rPr>
        <w:t>.</w:t>
      </w:r>
      <w:r w:rsidR="00104F2C" w:rsidRPr="00104F2C">
        <w:rPr>
          <w:color w:val="262626"/>
          <w:sz w:val="22"/>
          <w:szCs w:val="22"/>
        </w:rPr>
        <w:t xml:space="preserve"> </w:t>
      </w:r>
      <w:r w:rsidR="007675AB">
        <w:rPr>
          <w:color w:val="262626"/>
          <w:sz w:val="22"/>
          <w:szCs w:val="22"/>
        </w:rPr>
        <w:t xml:space="preserve"> </w:t>
      </w:r>
      <w:r w:rsidR="00104F2C">
        <w:rPr>
          <w:color w:val="262626"/>
          <w:sz w:val="22"/>
          <w:szCs w:val="22"/>
        </w:rPr>
        <w:t>Permit</w:t>
      </w:r>
      <w:r w:rsidR="00104F2C" w:rsidRPr="00C31A09">
        <w:rPr>
          <w:color w:val="262626"/>
          <w:sz w:val="22"/>
          <w:szCs w:val="22"/>
        </w:rPr>
        <w:t xml:space="preserve"> PSD</w:t>
      </w:r>
      <w:r w:rsidR="007675AB">
        <w:rPr>
          <w:color w:val="262626"/>
          <w:sz w:val="22"/>
          <w:szCs w:val="22"/>
        </w:rPr>
        <w:t xml:space="preserve">-FL-194J will include the </w:t>
      </w:r>
      <w:r w:rsidR="00302012">
        <w:rPr>
          <w:color w:val="262626"/>
          <w:sz w:val="22"/>
          <w:szCs w:val="22"/>
        </w:rPr>
        <w:t>revised</w:t>
      </w:r>
      <w:r w:rsidR="007675AB">
        <w:rPr>
          <w:color w:val="262626"/>
          <w:sz w:val="22"/>
          <w:szCs w:val="22"/>
        </w:rPr>
        <w:t xml:space="preserve"> language</w:t>
      </w:r>
      <w:r w:rsidR="00104F2C" w:rsidRPr="00C31A09">
        <w:rPr>
          <w:color w:val="262626"/>
          <w:sz w:val="22"/>
          <w:szCs w:val="22"/>
        </w:rPr>
        <w:t xml:space="preserve"> and </w:t>
      </w:r>
      <w:r w:rsidR="007675AB">
        <w:rPr>
          <w:color w:val="262626"/>
          <w:sz w:val="22"/>
          <w:szCs w:val="22"/>
        </w:rPr>
        <w:t xml:space="preserve">the </w:t>
      </w:r>
      <w:r w:rsidR="00104F2C" w:rsidRPr="00C31A09">
        <w:rPr>
          <w:color w:val="262626"/>
          <w:sz w:val="22"/>
          <w:szCs w:val="22"/>
        </w:rPr>
        <w:t xml:space="preserve">Title V permit </w:t>
      </w:r>
      <w:r w:rsidR="003B6828">
        <w:rPr>
          <w:color w:val="262626"/>
          <w:sz w:val="22"/>
          <w:szCs w:val="22"/>
        </w:rPr>
        <w:t xml:space="preserve">will be </w:t>
      </w:r>
      <w:r w:rsidR="007675AB">
        <w:rPr>
          <w:color w:val="262626"/>
          <w:sz w:val="22"/>
          <w:szCs w:val="22"/>
        </w:rPr>
        <w:t>revised accordingly.</w:t>
      </w:r>
      <w:r w:rsidR="00104F2C" w:rsidRPr="00C31A09">
        <w:rPr>
          <w:color w:val="262626"/>
          <w:sz w:val="22"/>
          <w:szCs w:val="22"/>
        </w:rPr>
        <w:t xml:space="preserve">  </w:t>
      </w:r>
    </w:p>
    <w:p w:rsidR="002F5FD4" w:rsidRPr="006547D7" w:rsidRDefault="002F5FD4" w:rsidP="009A1E14">
      <w:pPr>
        <w:pStyle w:val="ListParagraph"/>
        <w:widowControl w:val="0"/>
        <w:numPr>
          <w:ilvl w:val="0"/>
          <w:numId w:val="31"/>
        </w:numPr>
        <w:spacing w:after="80"/>
        <w:ind w:hanging="720"/>
        <w:contextualSpacing w:val="0"/>
        <w:rPr>
          <w:rFonts w:ascii="Times New Roman" w:hAnsi="Times New Roman" w:cs="Times New Roman"/>
        </w:rPr>
      </w:pPr>
      <w:r w:rsidRPr="006547D7">
        <w:rPr>
          <w:rFonts w:ascii="Times New Roman" w:hAnsi="Times New Roman" w:cs="Times New Roman"/>
          <w:u w:val="single"/>
        </w:rPr>
        <w:t>Nitrogen Oxide NO</w:t>
      </w:r>
      <w:r w:rsidRPr="006547D7">
        <w:rPr>
          <w:rFonts w:ascii="Times New Roman" w:hAnsi="Times New Roman" w:cs="Times New Roman"/>
          <w:u w:val="single"/>
          <w:vertAlign w:val="subscript"/>
        </w:rPr>
        <w:t>X</w:t>
      </w:r>
      <w:r w:rsidRPr="006547D7">
        <w:rPr>
          <w:rFonts w:ascii="Times New Roman" w:hAnsi="Times New Roman" w:cs="Times New Roman"/>
          <w:u w:val="single"/>
        </w:rPr>
        <w:t xml:space="preserve"> Emissions When Firing Natural Gas</w:t>
      </w:r>
      <w:r w:rsidR="00BB5FF0" w:rsidRPr="006547D7">
        <w:rPr>
          <w:rFonts w:ascii="Times New Roman" w:hAnsi="Times New Roman" w:cs="Times New Roman"/>
          <w:u w:val="single"/>
        </w:rPr>
        <w:t xml:space="preserve"> and </w:t>
      </w:r>
      <w:r w:rsidR="007367E7" w:rsidRPr="006547D7">
        <w:rPr>
          <w:rFonts w:ascii="Times New Roman" w:hAnsi="Times New Roman" w:cs="Times New Roman"/>
          <w:u w:val="single"/>
        </w:rPr>
        <w:t xml:space="preserve">Fuel </w:t>
      </w:r>
      <w:r w:rsidR="00BB5FF0" w:rsidRPr="006547D7">
        <w:rPr>
          <w:rFonts w:ascii="Times New Roman" w:hAnsi="Times New Roman" w:cs="Times New Roman"/>
          <w:u w:val="single"/>
        </w:rPr>
        <w:t>Oil</w:t>
      </w:r>
      <w:r w:rsidRPr="006547D7">
        <w:rPr>
          <w:rFonts w:ascii="Times New Roman" w:hAnsi="Times New Roman" w:cs="Times New Roman"/>
          <w:u w:val="single"/>
        </w:rPr>
        <w:t xml:space="preserve"> (EU 009 and 010)</w:t>
      </w:r>
    </w:p>
    <w:p w:rsidR="001A4EA5" w:rsidRPr="006547D7" w:rsidRDefault="001A4EA5" w:rsidP="009A1E14">
      <w:pPr>
        <w:pStyle w:val="ListParagraph"/>
        <w:widowControl w:val="0"/>
        <w:numPr>
          <w:ilvl w:val="0"/>
          <w:numId w:val="32"/>
        </w:numPr>
        <w:spacing w:after="80"/>
        <w:ind w:hanging="720"/>
        <w:contextualSpacing w:val="0"/>
        <w:rPr>
          <w:rFonts w:ascii="Times New Roman" w:hAnsi="Times New Roman" w:cs="Times New Roman"/>
        </w:rPr>
      </w:pPr>
      <w:r w:rsidRPr="009F5B6B">
        <w:rPr>
          <w:rFonts w:ascii="Times New Roman" w:eastAsia="Times New Roman" w:hAnsi="Times New Roman" w:cs="Times New Roman"/>
          <w:i/>
        </w:rPr>
        <w:t>Applicant Request</w:t>
      </w:r>
    </w:p>
    <w:p w:rsidR="001A4EA5" w:rsidRPr="009F5B6B" w:rsidRDefault="0095336B" w:rsidP="009A1E14">
      <w:pPr>
        <w:pStyle w:val="ListParagraph"/>
        <w:widowControl w:val="0"/>
        <w:spacing w:after="80" w:line="240" w:lineRule="auto"/>
        <w:ind w:left="0"/>
        <w:contextualSpacing w:val="0"/>
        <w:rPr>
          <w:rFonts w:ascii="Times New Roman" w:eastAsia="Times New Roman" w:hAnsi="Times New Roman" w:cs="Times New Roman"/>
        </w:rPr>
      </w:pPr>
      <w:r w:rsidRPr="009F5B6B">
        <w:rPr>
          <w:rFonts w:ascii="Times New Roman" w:eastAsia="Times New Roman" w:hAnsi="Times New Roman" w:cs="Times New Roman"/>
        </w:rPr>
        <w:t>The applicant request</w:t>
      </w:r>
      <w:r w:rsidR="00302012">
        <w:rPr>
          <w:rFonts w:ascii="Times New Roman" w:eastAsia="Times New Roman" w:hAnsi="Times New Roman" w:cs="Times New Roman"/>
        </w:rPr>
        <w:t>ed</w:t>
      </w:r>
      <w:r w:rsidRPr="009F5B6B">
        <w:rPr>
          <w:rFonts w:ascii="Times New Roman" w:eastAsia="Times New Roman" w:hAnsi="Times New Roman" w:cs="Times New Roman"/>
        </w:rPr>
        <w:t xml:space="preserve"> that </w:t>
      </w:r>
      <w:r w:rsidR="009F5B6B" w:rsidRPr="009F5B6B">
        <w:rPr>
          <w:rFonts w:ascii="Times New Roman" w:eastAsia="Times New Roman" w:hAnsi="Times New Roman" w:cs="Times New Roman"/>
        </w:rPr>
        <w:t xml:space="preserve">when firing natural gas in the turbines that </w:t>
      </w:r>
      <w:r w:rsidRPr="009F5B6B">
        <w:rPr>
          <w:rFonts w:ascii="Times New Roman" w:eastAsia="Times New Roman" w:hAnsi="Times New Roman" w:cs="Times New Roman"/>
        </w:rPr>
        <w:t>the NO</w:t>
      </w:r>
      <w:r w:rsidRPr="009F5B6B">
        <w:rPr>
          <w:rFonts w:ascii="Times New Roman" w:eastAsia="Times New Roman" w:hAnsi="Times New Roman" w:cs="Times New Roman"/>
          <w:vertAlign w:val="subscript"/>
        </w:rPr>
        <w:t>2</w:t>
      </w:r>
      <w:r w:rsidRPr="009F5B6B">
        <w:rPr>
          <w:rFonts w:ascii="Times New Roman" w:eastAsia="Times New Roman" w:hAnsi="Times New Roman" w:cs="Times New Roman"/>
        </w:rPr>
        <w:t xml:space="preserve"> testing requirement be removed since these units h</w:t>
      </w:r>
      <w:r w:rsidR="001659BE">
        <w:rPr>
          <w:rFonts w:ascii="Times New Roman" w:eastAsia="Times New Roman" w:hAnsi="Times New Roman" w:cs="Times New Roman"/>
        </w:rPr>
        <w:t xml:space="preserve">ave been in operation for years, emissions are monitored continuously by CEMS, </w:t>
      </w:r>
      <w:r w:rsidRPr="009F5B6B">
        <w:rPr>
          <w:rFonts w:ascii="Times New Roman" w:eastAsia="Times New Roman" w:hAnsi="Times New Roman" w:cs="Times New Roman"/>
        </w:rPr>
        <w:t xml:space="preserve">and initial “new and clean” GE performance stack test are no longer </w:t>
      </w:r>
      <w:r w:rsidR="001659BE">
        <w:rPr>
          <w:rFonts w:ascii="Times New Roman" w:eastAsia="Times New Roman" w:hAnsi="Times New Roman" w:cs="Times New Roman"/>
        </w:rPr>
        <w:t>applicable</w:t>
      </w:r>
      <w:r w:rsidRPr="009F5B6B">
        <w:rPr>
          <w:rFonts w:ascii="Times New Roman" w:eastAsia="Times New Roman" w:hAnsi="Times New Roman" w:cs="Times New Roman"/>
        </w:rPr>
        <w:t>.  The applicant also requests that the reasonable measures requirement to achieve a NO</w:t>
      </w:r>
      <w:r w:rsidRPr="009F5B6B">
        <w:rPr>
          <w:rFonts w:ascii="Times New Roman" w:eastAsia="Times New Roman" w:hAnsi="Times New Roman" w:cs="Times New Roman"/>
          <w:vertAlign w:val="subscript"/>
        </w:rPr>
        <w:t>X</w:t>
      </w:r>
      <w:r w:rsidRPr="009F5B6B">
        <w:rPr>
          <w:rFonts w:ascii="Times New Roman" w:eastAsia="Times New Roman" w:hAnsi="Times New Roman" w:cs="Times New Roman"/>
        </w:rPr>
        <w:t xml:space="preserve"> concentration of 9 ppmvd @ 15% O</w:t>
      </w:r>
      <w:r w:rsidRPr="009F5B6B">
        <w:rPr>
          <w:rFonts w:ascii="Times New Roman" w:eastAsia="Times New Roman" w:hAnsi="Times New Roman" w:cs="Times New Roman"/>
          <w:vertAlign w:val="subscript"/>
        </w:rPr>
        <w:t>2</w:t>
      </w:r>
      <w:r w:rsidRPr="009F5B6B">
        <w:rPr>
          <w:rFonts w:ascii="Times New Roman" w:eastAsia="Times New Roman" w:hAnsi="Times New Roman" w:cs="Times New Roman"/>
        </w:rPr>
        <w:t xml:space="preserve"> involving tuning of the combustors for Dry Low NO</w:t>
      </w:r>
      <w:r w:rsidRPr="009F5B6B">
        <w:rPr>
          <w:rFonts w:ascii="Times New Roman" w:eastAsia="Times New Roman" w:hAnsi="Times New Roman" w:cs="Times New Roman"/>
          <w:vertAlign w:val="subscript"/>
        </w:rPr>
        <w:t>X</w:t>
      </w:r>
      <w:r w:rsidRPr="009F5B6B">
        <w:rPr>
          <w:rFonts w:ascii="Times New Roman" w:eastAsia="Times New Roman" w:hAnsi="Times New Roman" w:cs="Times New Roman"/>
        </w:rPr>
        <w:t xml:space="preserve"> operation while firing gas be removed since the </w:t>
      </w:r>
      <w:r w:rsidR="001659BE">
        <w:rPr>
          <w:rFonts w:ascii="Times New Roman" w:eastAsia="Times New Roman" w:hAnsi="Times New Roman" w:cs="Times New Roman"/>
        </w:rPr>
        <w:t xml:space="preserve">initial </w:t>
      </w:r>
      <w:r w:rsidRPr="009F5B6B">
        <w:rPr>
          <w:rFonts w:ascii="Times New Roman" w:eastAsia="Times New Roman" w:hAnsi="Times New Roman" w:cs="Times New Roman"/>
        </w:rPr>
        <w:t xml:space="preserve">tuning has already been accomplished.  </w:t>
      </w:r>
    </w:p>
    <w:p w:rsidR="009F5B6B" w:rsidRDefault="009F5B6B" w:rsidP="009A1E14">
      <w:pPr>
        <w:pStyle w:val="ListParagraph"/>
        <w:widowControl w:val="0"/>
        <w:spacing w:after="80" w:line="240" w:lineRule="auto"/>
        <w:ind w:left="0"/>
        <w:contextualSpacing w:val="0"/>
        <w:rPr>
          <w:rFonts w:ascii="Times New Roman" w:eastAsia="Times New Roman" w:hAnsi="Times New Roman" w:cs="Times New Roman"/>
        </w:rPr>
      </w:pPr>
      <w:r w:rsidRPr="009F5B6B">
        <w:rPr>
          <w:rFonts w:ascii="Times New Roman" w:eastAsia="Times New Roman" w:hAnsi="Times New Roman" w:cs="Times New Roman"/>
        </w:rPr>
        <w:t xml:space="preserve">The applicant </w:t>
      </w:r>
      <w:r w:rsidR="005A153D">
        <w:rPr>
          <w:rFonts w:ascii="Times New Roman" w:eastAsia="Times New Roman" w:hAnsi="Times New Roman" w:cs="Times New Roman"/>
        </w:rPr>
        <w:t xml:space="preserve">also </w:t>
      </w:r>
      <w:r w:rsidRPr="009F5B6B">
        <w:rPr>
          <w:rFonts w:ascii="Times New Roman" w:eastAsia="Times New Roman" w:hAnsi="Times New Roman" w:cs="Times New Roman"/>
        </w:rPr>
        <w:t>request</w:t>
      </w:r>
      <w:r w:rsidR="00302012">
        <w:rPr>
          <w:rFonts w:ascii="Times New Roman" w:eastAsia="Times New Roman" w:hAnsi="Times New Roman" w:cs="Times New Roman"/>
        </w:rPr>
        <w:t>ed</w:t>
      </w:r>
      <w:r w:rsidRPr="009F5B6B">
        <w:rPr>
          <w:rFonts w:ascii="Times New Roman" w:eastAsia="Times New Roman" w:hAnsi="Times New Roman" w:cs="Times New Roman"/>
        </w:rPr>
        <w:t xml:space="preserve"> that when firing fuel oil in the turbines that the reasonable measures requirement to achieve a NO</w:t>
      </w:r>
      <w:r w:rsidRPr="009F5B6B">
        <w:rPr>
          <w:rFonts w:ascii="Times New Roman" w:eastAsia="Times New Roman" w:hAnsi="Times New Roman" w:cs="Times New Roman"/>
          <w:vertAlign w:val="subscript"/>
        </w:rPr>
        <w:t>X</w:t>
      </w:r>
      <w:r w:rsidRPr="009F5B6B">
        <w:rPr>
          <w:rFonts w:ascii="Times New Roman" w:eastAsia="Times New Roman" w:hAnsi="Times New Roman" w:cs="Times New Roman"/>
        </w:rPr>
        <w:t xml:space="preserve"> concentration of 42 ppmvd @ 15% O</w:t>
      </w:r>
      <w:r w:rsidRPr="009F5B6B">
        <w:rPr>
          <w:rFonts w:ascii="Times New Roman" w:eastAsia="Times New Roman" w:hAnsi="Times New Roman" w:cs="Times New Roman"/>
          <w:vertAlign w:val="subscript"/>
        </w:rPr>
        <w:t>2</w:t>
      </w:r>
      <w:r w:rsidRPr="009F5B6B">
        <w:rPr>
          <w:rFonts w:ascii="Times New Roman" w:eastAsia="Times New Roman" w:hAnsi="Times New Roman" w:cs="Times New Roman"/>
        </w:rPr>
        <w:t xml:space="preserve"> be removed since a NO</w:t>
      </w:r>
      <w:r w:rsidRPr="009F5B6B">
        <w:rPr>
          <w:rFonts w:ascii="Times New Roman" w:eastAsia="Times New Roman" w:hAnsi="Times New Roman" w:cs="Times New Roman"/>
          <w:vertAlign w:val="subscript"/>
        </w:rPr>
        <w:t>X</w:t>
      </w:r>
      <w:r w:rsidRPr="009F5B6B">
        <w:rPr>
          <w:rFonts w:ascii="Times New Roman" w:eastAsia="Times New Roman" w:hAnsi="Times New Roman" w:cs="Times New Roman"/>
        </w:rPr>
        <w:t xml:space="preserve"> reduction plan has already been submitted to the Department.  </w:t>
      </w:r>
      <w:r w:rsidR="005A153D">
        <w:rPr>
          <w:rFonts w:ascii="Times New Roman" w:eastAsia="Times New Roman" w:hAnsi="Times New Roman" w:cs="Times New Roman"/>
        </w:rPr>
        <w:t>T</w:t>
      </w:r>
      <w:r w:rsidRPr="009F5B6B">
        <w:rPr>
          <w:rFonts w:ascii="Times New Roman" w:eastAsia="Times New Roman" w:hAnsi="Times New Roman" w:cs="Times New Roman"/>
        </w:rPr>
        <w:t xml:space="preserve">he applicant </w:t>
      </w:r>
      <w:r w:rsidR="005A153D">
        <w:rPr>
          <w:rFonts w:ascii="Times New Roman" w:eastAsia="Times New Roman" w:hAnsi="Times New Roman" w:cs="Times New Roman"/>
        </w:rPr>
        <w:t>has also requested that</w:t>
      </w:r>
      <w:r w:rsidRPr="009F5B6B">
        <w:rPr>
          <w:rFonts w:ascii="Times New Roman" w:eastAsia="Times New Roman" w:hAnsi="Times New Roman" w:cs="Times New Roman"/>
        </w:rPr>
        <w:t xml:space="preserve"> on fuel oil firing </w:t>
      </w:r>
      <w:r w:rsidR="005A153D">
        <w:rPr>
          <w:rFonts w:ascii="Times New Roman" w:eastAsia="Times New Roman" w:hAnsi="Times New Roman" w:cs="Times New Roman"/>
        </w:rPr>
        <w:t xml:space="preserve">be </w:t>
      </w:r>
      <w:r w:rsidR="005A153D" w:rsidRPr="009F5B6B">
        <w:rPr>
          <w:rFonts w:ascii="Times New Roman" w:eastAsia="Times New Roman" w:hAnsi="Times New Roman" w:cs="Times New Roman"/>
        </w:rPr>
        <w:t xml:space="preserve">limited </w:t>
      </w:r>
      <w:r w:rsidRPr="009F5B6B">
        <w:rPr>
          <w:rFonts w:ascii="Times New Roman" w:eastAsia="Times New Roman" w:hAnsi="Times New Roman" w:cs="Times New Roman"/>
        </w:rPr>
        <w:t>to 750 hour per year.</w:t>
      </w:r>
      <w:r w:rsidR="005A153D">
        <w:rPr>
          <w:rFonts w:ascii="Times New Roman" w:eastAsia="Times New Roman" w:hAnsi="Times New Roman" w:cs="Times New Roman"/>
        </w:rPr>
        <w:t xml:space="preserve">  </w:t>
      </w:r>
      <w:r>
        <w:rPr>
          <w:rFonts w:ascii="Times New Roman" w:eastAsia="Times New Roman" w:hAnsi="Times New Roman" w:cs="Times New Roman"/>
        </w:rPr>
        <w:t xml:space="preserve">Finally, </w:t>
      </w:r>
      <w:r w:rsidRPr="009F5B6B">
        <w:rPr>
          <w:rFonts w:ascii="Times New Roman" w:eastAsia="Times New Roman" w:hAnsi="Times New Roman" w:cs="Times New Roman"/>
        </w:rPr>
        <w:t xml:space="preserve">the applicant request that the vendor certification requirement </w:t>
      </w:r>
      <w:r w:rsidR="00C82D83">
        <w:rPr>
          <w:rFonts w:ascii="Times New Roman" w:eastAsia="Times New Roman" w:hAnsi="Times New Roman" w:cs="Times New Roman"/>
        </w:rPr>
        <w:t>for the sulfur content of the fuel oil sulfur fired in the turbines</w:t>
      </w:r>
      <w:r w:rsidR="00C82D83" w:rsidRPr="009F5B6B">
        <w:rPr>
          <w:rFonts w:ascii="Times New Roman" w:eastAsia="Times New Roman" w:hAnsi="Times New Roman" w:cs="Times New Roman"/>
        </w:rPr>
        <w:t xml:space="preserve"> </w:t>
      </w:r>
      <w:r w:rsidRPr="009F5B6B">
        <w:rPr>
          <w:rFonts w:ascii="Times New Roman" w:eastAsia="Times New Roman" w:hAnsi="Times New Roman" w:cs="Times New Roman"/>
        </w:rPr>
        <w:t xml:space="preserve">be </w:t>
      </w:r>
      <w:r w:rsidR="005E6F2D">
        <w:rPr>
          <w:rFonts w:ascii="Times New Roman" w:eastAsia="Times New Roman" w:hAnsi="Times New Roman" w:cs="Times New Roman"/>
        </w:rPr>
        <w:t>supplemented by</w:t>
      </w:r>
      <w:r w:rsidRPr="009F5B6B">
        <w:rPr>
          <w:rFonts w:ascii="Times New Roman" w:eastAsia="Times New Roman" w:hAnsi="Times New Roman" w:cs="Times New Roman"/>
        </w:rPr>
        <w:t xml:space="preserve"> fuel </w:t>
      </w:r>
      <w:r w:rsidR="00C82D83">
        <w:rPr>
          <w:rFonts w:ascii="Times New Roman" w:eastAsia="Times New Roman" w:hAnsi="Times New Roman" w:cs="Times New Roman"/>
        </w:rPr>
        <w:t xml:space="preserve">oil sulfur </w:t>
      </w:r>
      <w:r w:rsidRPr="009F5B6B">
        <w:rPr>
          <w:rFonts w:ascii="Times New Roman" w:eastAsia="Times New Roman" w:hAnsi="Times New Roman" w:cs="Times New Roman"/>
        </w:rPr>
        <w:t xml:space="preserve">monitoring </w:t>
      </w:r>
      <w:r w:rsidR="005E6F2D">
        <w:rPr>
          <w:rFonts w:ascii="Times New Roman" w:eastAsia="Times New Roman" w:hAnsi="Times New Roman" w:cs="Times New Roman"/>
        </w:rPr>
        <w:t>utilizing composite samples analyzed in an on-site or off-site</w:t>
      </w:r>
      <w:r w:rsidRPr="009F5B6B">
        <w:rPr>
          <w:rFonts w:ascii="Times New Roman" w:eastAsia="Times New Roman" w:hAnsi="Times New Roman" w:cs="Times New Roman"/>
        </w:rPr>
        <w:t xml:space="preserve"> laboratory.</w:t>
      </w:r>
    </w:p>
    <w:p w:rsidR="00BB5FF0" w:rsidRPr="006547D7" w:rsidRDefault="00BB5FF0" w:rsidP="009A1E14">
      <w:pPr>
        <w:pStyle w:val="ListParagraph"/>
        <w:widowControl w:val="0"/>
        <w:numPr>
          <w:ilvl w:val="0"/>
          <w:numId w:val="33"/>
        </w:numPr>
        <w:spacing w:after="80"/>
        <w:ind w:hanging="720"/>
        <w:contextualSpacing w:val="0"/>
        <w:rPr>
          <w:rFonts w:ascii="Times New Roman" w:hAnsi="Times New Roman" w:cs="Times New Roman"/>
        </w:rPr>
      </w:pPr>
      <w:r w:rsidRPr="009F5B6B">
        <w:rPr>
          <w:rFonts w:ascii="Times New Roman" w:hAnsi="Times New Roman" w:cs="Times New Roman"/>
          <w:color w:val="373737"/>
          <w:u w:val="single"/>
        </w:rPr>
        <w:t>Department Response</w:t>
      </w:r>
    </w:p>
    <w:p w:rsidR="00BB5FF0" w:rsidRDefault="005A153D" w:rsidP="009A1E14">
      <w:pPr>
        <w:widowControl w:val="0"/>
        <w:spacing w:after="80"/>
        <w:rPr>
          <w:sz w:val="22"/>
          <w:szCs w:val="22"/>
        </w:rPr>
      </w:pPr>
      <w:r>
        <w:rPr>
          <w:sz w:val="22"/>
          <w:szCs w:val="22"/>
        </w:rPr>
        <w:lastRenderedPageBreak/>
        <w:t>The D</w:t>
      </w:r>
      <w:r w:rsidR="00BB5FF0" w:rsidRPr="009F5B6B">
        <w:rPr>
          <w:sz w:val="22"/>
          <w:szCs w:val="22"/>
        </w:rPr>
        <w:t>epartment agrees with the applicant request</w:t>
      </w:r>
      <w:r w:rsidR="001659BE">
        <w:rPr>
          <w:sz w:val="22"/>
          <w:szCs w:val="22"/>
        </w:rPr>
        <w:t>s</w:t>
      </w:r>
      <w:r w:rsidR="00BB5FF0" w:rsidRPr="009F5B6B">
        <w:rPr>
          <w:sz w:val="22"/>
          <w:szCs w:val="22"/>
        </w:rPr>
        <w:t xml:space="preserve"> </w:t>
      </w:r>
      <w:r>
        <w:rPr>
          <w:sz w:val="22"/>
          <w:szCs w:val="22"/>
        </w:rPr>
        <w:t>with regard to the natural gas NO</w:t>
      </w:r>
      <w:r w:rsidRPr="005A153D">
        <w:rPr>
          <w:sz w:val="22"/>
          <w:szCs w:val="22"/>
          <w:vertAlign w:val="subscript"/>
        </w:rPr>
        <w:t>2</w:t>
      </w:r>
      <w:r>
        <w:rPr>
          <w:sz w:val="22"/>
          <w:szCs w:val="22"/>
        </w:rPr>
        <w:t xml:space="preserve"> testing and </w:t>
      </w:r>
      <w:r w:rsidR="005E6F2D">
        <w:rPr>
          <w:sz w:val="22"/>
          <w:szCs w:val="22"/>
        </w:rPr>
        <w:t xml:space="preserve">the </w:t>
      </w:r>
      <w:r>
        <w:rPr>
          <w:sz w:val="22"/>
          <w:szCs w:val="22"/>
        </w:rPr>
        <w:t>reasonable measures requirements</w:t>
      </w:r>
      <w:r w:rsidR="00B079AB">
        <w:rPr>
          <w:sz w:val="22"/>
          <w:szCs w:val="22"/>
        </w:rPr>
        <w:t xml:space="preserve">. </w:t>
      </w:r>
      <w:r>
        <w:rPr>
          <w:sz w:val="22"/>
          <w:szCs w:val="22"/>
        </w:rPr>
        <w:t xml:space="preserve"> </w:t>
      </w:r>
      <w:r w:rsidR="00B079AB" w:rsidRPr="009F5B6B">
        <w:rPr>
          <w:sz w:val="22"/>
          <w:szCs w:val="22"/>
        </w:rPr>
        <w:t xml:space="preserve">Also </w:t>
      </w:r>
      <w:r w:rsidR="00B079AB">
        <w:rPr>
          <w:sz w:val="22"/>
          <w:szCs w:val="22"/>
        </w:rPr>
        <w:t xml:space="preserve">fuel oil firing will be limited to 750 </w:t>
      </w:r>
      <w:r w:rsidR="00B079AB" w:rsidRPr="009F5B6B">
        <w:rPr>
          <w:sz w:val="22"/>
          <w:szCs w:val="22"/>
        </w:rPr>
        <w:t>hour</w:t>
      </w:r>
      <w:r w:rsidR="00B079AB">
        <w:rPr>
          <w:sz w:val="22"/>
          <w:szCs w:val="22"/>
        </w:rPr>
        <w:t>s</w:t>
      </w:r>
      <w:r w:rsidR="00B079AB" w:rsidRPr="009F5B6B">
        <w:rPr>
          <w:sz w:val="22"/>
          <w:szCs w:val="22"/>
        </w:rPr>
        <w:t xml:space="preserve"> per year</w:t>
      </w:r>
      <w:r w:rsidR="00B079AB">
        <w:rPr>
          <w:sz w:val="22"/>
          <w:szCs w:val="22"/>
        </w:rPr>
        <w:t xml:space="preserve"> </w:t>
      </w:r>
      <w:r w:rsidR="00B11F72">
        <w:rPr>
          <w:sz w:val="22"/>
          <w:szCs w:val="22"/>
        </w:rPr>
        <w:t>as requested</w:t>
      </w:r>
      <w:r w:rsidR="00BB5FF0" w:rsidRPr="009F5B6B">
        <w:rPr>
          <w:sz w:val="22"/>
          <w:szCs w:val="22"/>
        </w:rPr>
        <w:t>.</w:t>
      </w:r>
      <w:r w:rsidR="009F5B6B" w:rsidRPr="009F5B6B">
        <w:rPr>
          <w:sz w:val="22"/>
          <w:szCs w:val="22"/>
        </w:rPr>
        <w:t xml:space="preserve">  </w:t>
      </w:r>
      <w:r w:rsidR="00B079AB">
        <w:rPr>
          <w:sz w:val="22"/>
          <w:szCs w:val="22"/>
        </w:rPr>
        <w:t>T</w:t>
      </w:r>
      <w:r w:rsidR="00B079AB" w:rsidRPr="00B079AB">
        <w:rPr>
          <w:sz w:val="22"/>
          <w:szCs w:val="22"/>
        </w:rPr>
        <w:t>he appropriate permit conditions in permit PSD-FL-263B (Project No. 1050233-030-AC)</w:t>
      </w:r>
      <w:r w:rsidR="009F5B6B" w:rsidRPr="009F5B6B">
        <w:rPr>
          <w:sz w:val="22"/>
          <w:szCs w:val="22"/>
        </w:rPr>
        <w:t>.</w:t>
      </w:r>
    </w:p>
    <w:p w:rsidR="006547D7" w:rsidRDefault="005A153D" w:rsidP="009A1E14">
      <w:pPr>
        <w:widowControl w:val="0"/>
        <w:spacing w:after="80"/>
        <w:rPr>
          <w:sz w:val="22"/>
          <w:szCs w:val="22"/>
        </w:rPr>
      </w:pPr>
      <w:r w:rsidRPr="005A153D">
        <w:rPr>
          <w:sz w:val="22"/>
          <w:szCs w:val="22"/>
        </w:rPr>
        <w:t xml:space="preserve">The Department agrees with the applicant’s request with regard to the </w:t>
      </w:r>
      <w:r>
        <w:rPr>
          <w:sz w:val="22"/>
          <w:szCs w:val="22"/>
        </w:rPr>
        <w:t xml:space="preserve">fuel oil </w:t>
      </w:r>
      <w:r w:rsidRPr="005A153D">
        <w:rPr>
          <w:sz w:val="22"/>
          <w:szCs w:val="22"/>
        </w:rPr>
        <w:t xml:space="preserve">reasonable measures requirements </w:t>
      </w:r>
      <w:r>
        <w:rPr>
          <w:sz w:val="22"/>
          <w:szCs w:val="22"/>
        </w:rPr>
        <w:t>with regard to NO</w:t>
      </w:r>
      <w:r w:rsidRPr="005A153D">
        <w:rPr>
          <w:sz w:val="22"/>
          <w:szCs w:val="22"/>
          <w:vertAlign w:val="subscript"/>
        </w:rPr>
        <w:t>X</w:t>
      </w:r>
      <w:r w:rsidRPr="005A153D">
        <w:rPr>
          <w:sz w:val="22"/>
          <w:szCs w:val="22"/>
        </w:rPr>
        <w:t>.</w:t>
      </w:r>
      <w:r>
        <w:rPr>
          <w:sz w:val="22"/>
          <w:szCs w:val="22"/>
        </w:rPr>
        <w:t xml:space="preserve">  </w:t>
      </w:r>
      <w:r w:rsidR="009F5B6B">
        <w:rPr>
          <w:sz w:val="22"/>
          <w:szCs w:val="22"/>
        </w:rPr>
        <w:t>With regard to fuel oil sulfur monitoring, t</w:t>
      </w:r>
      <w:r w:rsidR="009F5B6B" w:rsidRPr="009F5B6B">
        <w:rPr>
          <w:sz w:val="22"/>
          <w:szCs w:val="22"/>
        </w:rPr>
        <w:t xml:space="preserve">he Department </w:t>
      </w:r>
      <w:r w:rsidR="00B079AB">
        <w:rPr>
          <w:sz w:val="22"/>
          <w:szCs w:val="22"/>
        </w:rPr>
        <w:t xml:space="preserve">also </w:t>
      </w:r>
      <w:r w:rsidR="009F5B6B" w:rsidRPr="009F5B6B">
        <w:rPr>
          <w:sz w:val="22"/>
          <w:szCs w:val="22"/>
        </w:rPr>
        <w:t xml:space="preserve">agrees with the applicant.  The Department will also stipulate that the monthly composite sample be analyzed in </w:t>
      </w:r>
      <w:r w:rsidR="005E6F2D">
        <w:rPr>
          <w:sz w:val="22"/>
          <w:szCs w:val="22"/>
        </w:rPr>
        <w:t>an on-site or off-site</w:t>
      </w:r>
      <w:r w:rsidR="009F5B6B" w:rsidRPr="009F5B6B">
        <w:rPr>
          <w:sz w:val="22"/>
          <w:szCs w:val="22"/>
        </w:rPr>
        <w:t xml:space="preserve"> laboratory for density, heat content, sulfur content and carbon content.  </w:t>
      </w:r>
      <w:r w:rsidR="005E6F2D">
        <w:rPr>
          <w:sz w:val="22"/>
          <w:szCs w:val="22"/>
        </w:rPr>
        <w:t xml:space="preserve">Vendor certification can also be used to show compliance. </w:t>
      </w:r>
      <w:r w:rsidR="00B11F72">
        <w:rPr>
          <w:sz w:val="22"/>
          <w:szCs w:val="22"/>
        </w:rPr>
        <w:t xml:space="preserve"> </w:t>
      </w:r>
      <w:r w:rsidR="00B079AB">
        <w:rPr>
          <w:sz w:val="22"/>
          <w:szCs w:val="22"/>
        </w:rPr>
        <w:t>T</w:t>
      </w:r>
      <w:r w:rsidR="00B079AB" w:rsidRPr="005A153D">
        <w:rPr>
          <w:sz w:val="22"/>
          <w:szCs w:val="22"/>
        </w:rPr>
        <w:t>he appropriate permit conditions</w:t>
      </w:r>
      <w:r w:rsidR="00B079AB">
        <w:rPr>
          <w:sz w:val="22"/>
          <w:szCs w:val="22"/>
        </w:rPr>
        <w:t xml:space="preserve"> in permit PSD-FL-263B (Project No. 1050233-030-AC).</w:t>
      </w:r>
    </w:p>
    <w:p w:rsidR="006547D7" w:rsidRDefault="006547D7" w:rsidP="009A1E14">
      <w:pPr>
        <w:pStyle w:val="ListParagraph"/>
        <w:widowControl w:val="0"/>
        <w:numPr>
          <w:ilvl w:val="0"/>
          <w:numId w:val="34"/>
        </w:numPr>
        <w:spacing w:after="80"/>
        <w:ind w:hanging="720"/>
        <w:contextualSpacing w:val="0"/>
        <w:rPr>
          <w:rFonts w:ascii="Times New Roman Bold" w:hAnsi="Times New Roman Bold" w:cs="Times New Roman"/>
          <w:b/>
        </w:rPr>
      </w:pPr>
      <w:r>
        <w:rPr>
          <w:rFonts w:ascii="Times New Roman Bold" w:hAnsi="Times New Roman Bold" w:cs="Times New Roman"/>
          <w:b/>
        </w:rPr>
        <w:t>Project 2</w:t>
      </w:r>
    </w:p>
    <w:p w:rsidR="00912EF3" w:rsidRDefault="00C03F58" w:rsidP="009A1E14">
      <w:pPr>
        <w:pStyle w:val="ListParagraph"/>
        <w:widowControl w:val="0"/>
        <w:tabs>
          <w:tab w:val="left" w:pos="1170"/>
        </w:tabs>
        <w:spacing w:after="80" w:line="240" w:lineRule="auto"/>
        <w:ind w:left="0"/>
        <w:contextualSpacing w:val="0"/>
        <w:rPr>
          <w:rFonts w:ascii="Times New Roman" w:hAnsi="Times New Roman" w:cs="Times New Roman"/>
        </w:rPr>
      </w:pPr>
      <w:r w:rsidRPr="009A05F1">
        <w:rPr>
          <w:rFonts w:ascii="Times New Roman" w:hAnsi="Times New Roman" w:cs="Times New Roman"/>
        </w:rPr>
        <w:t xml:space="preserve">As previously described, the applicant has requested that natural gas replace No. 2 fuel oil as the startup and backup fuel for the combined cycle </w:t>
      </w:r>
      <w:r w:rsidR="00BC2743">
        <w:rPr>
          <w:rFonts w:ascii="Times New Roman" w:hAnsi="Times New Roman" w:cs="Times New Roman"/>
        </w:rPr>
        <w:t>CCCT</w:t>
      </w:r>
      <w:r w:rsidRPr="009A05F1">
        <w:rPr>
          <w:rFonts w:ascii="Times New Roman" w:hAnsi="Times New Roman" w:cs="Times New Roman"/>
        </w:rPr>
        <w:t xml:space="preserve"> (EU 001) and as the only allowable fuel </w:t>
      </w:r>
      <w:r w:rsidR="003B6828">
        <w:rPr>
          <w:rFonts w:ascii="Times New Roman" w:hAnsi="Times New Roman" w:cs="Times New Roman"/>
        </w:rPr>
        <w:t>in</w:t>
      </w:r>
      <w:r w:rsidRPr="009A05F1">
        <w:rPr>
          <w:rFonts w:ascii="Times New Roman" w:hAnsi="Times New Roman" w:cs="Times New Roman"/>
        </w:rPr>
        <w:t xml:space="preserve"> the auxiliary boiler (EU 003)</w:t>
      </w:r>
      <w:r w:rsidR="00C74A87">
        <w:rPr>
          <w:rFonts w:ascii="Times New Roman" w:hAnsi="Times New Roman" w:cs="Times New Roman"/>
        </w:rPr>
        <w:t>.  In addition, the applicant requested that natural gas replace propane as the burner fuel for the SAP</w:t>
      </w:r>
      <w:r w:rsidR="00912EF3">
        <w:rPr>
          <w:rFonts w:ascii="Times New Roman" w:hAnsi="Times New Roman" w:cs="Times New Roman"/>
        </w:rPr>
        <w:t xml:space="preserve"> (EU 004)</w:t>
      </w:r>
      <w:r w:rsidR="00C74A87">
        <w:rPr>
          <w:rFonts w:ascii="Times New Roman" w:hAnsi="Times New Roman" w:cs="Times New Roman"/>
        </w:rPr>
        <w:t xml:space="preserve"> and </w:t>
      </w:r>
      <w:r w:rsidR="00912EF3">
        <w:rPr>
          <w:rFonts w:ascii="Times New Roman" w:hAnsi="Times New Roman" w:cs="Times New Roman"/>
        </w:rPr>
        <w:t>solid</w:t>
      </w:r>
      <w:r w:rsidR="00C74A87">
        <w:rPr>
          <w:rFonts w:ascii="Times New Roman" w:hAnsi="Times New Roman" w:cs="Times New Roman"/>
        </w:rPr>
        <w:t xml:space="preserve"> fuel </w:t>
      </w:r>
      <w:r w:rsidR="00912EF3">
        <w:rPr>
          <w:rFonts w:ascii="Times New Roman" w:hAnsi="Times New Roman" w:cs="Times New Roman"/>
        </w:rPr>
        <w:t>gasification</w:t>
      </w:r>
      <w:r w:rsidR="00C74A87">
        <w:rPr>
          <w:rFonts w:ascii="Times New Roman" w:hAnsi="Times New Roman" w:cs="Times New Roman"/>
        </w:rPr>
        <w:t xml:space="preserve"> </w:t>
      </w:r>
      <w:r w:rsidR="00912EF3">
        <w:rPr>
          <w:rFonts w:ascii="Times New Roman" w:hAnsi="Times New Roman" w:cs="Times New Roman"/>
        </w:rPr>
        <w:t>system (EU 006)</w:t>
      </w:r>
      <w:r w:rsidRPr="009A05F1">
        <w:rPr>
          <w:rFonts w:ascii="Times New Roman" w:hAnsi="Times New Roman" w:cs="Times New Roman"/>
        </w:rPr>
        <w:t xml:space="preserve">.  </w:t>
      </w:r>
    </w:p>
    <w:p w:rsidR="00912EF3" w:rsidRPr="00912EF3" w:rsidRDefault="00912EF3" w:rsidP="009A1E14">
      <w:pPr>
        <w:pStyle w:val="ListParagraph"/>
        <w:widowControl w:val="0"/>
        <w:numPr>
          <w:ilvl w:val="0"/>
          <w:numId w:val="35"/>
        </w:numPr>
        <w:spacing w:after="80"/>
        <w:ind w:hanging="720"/>
        <w:contextualSpacing w:val="0"/>
        <w:rPr>
          <w:rFonts w:ascii="Times New Roman" w:hAnsi="Times New Roman" w:cs="Times New Roman"/>
          <w:u w:val="single"/>
        </w:rPr>
      </w:pPr>
      <w:r w:rsidRPr="00912EF3">
        <w:rPr>
          <w:rFonts w:ascii="Times New Roman" w:hAnsi="Times New Roman" w:cs="Times New Roman"/>
          <w:u w:val="single"/>
        </w:rPr>
        <w:t>Natural Gas Conversion</w:t>
      </w:r>
    </w:p>
    <w:p w:rsidR="00FF2BBB" w:rsidRPr="00B11F72" w:rsidRDefault="00912EF3" w:rsidP="009A1E14">
      <w:pPr>
        <w:pStyle w:val="ListParagraph"/>
        <w:widowControl w:val="0"/>
        <w:tabs>
          <w:tab w:val="left" w:pos="1170"/>
        </w:tabs>
        <w:spacing w:after="80" w:line="240" w:lineRule="auto"/>
        <w:ind w:left="0"/>
        <w:contextualSpacing w:val="0"/>
        <w:rPr>
          <w:rFonts w:ascii="Times New Roman" w:hAnsi="Times New Roman" w:cs="Times New Roman"/>
        </w:rPr>
      </w:pPr>
      <w:r>
        <w:rPr>
          <w:rFonts w:ascii="Times New Roman" w:hAnsi="Times New Roman" w:cs="Times New Roman"/>
        </w:rPr>
        <w:t xml:space="preserve">The conversion to natural gas involves </w:t>
      </w:r>
      <w:r w:rsidRPr="009A05F1">
        <w:rPr>
          <w:rFonts w:ascii="Times New Roman" w:hAnsi="Times New Roman" w:cs="Times New Roman"/>
        </w:rPr>
        <w:t>emissions limit changes</w:t>
      </w:r>
      <w:r>
        <w:rPr>
          <w:rFonts w:ascii="Times New Roman" w:hAnsi="Times New Roman" w:cs="Times New Roman"/>
        </w:rPr>
        <w:t xml:space="preserve"> and compliance requirements</w:t>
      </w:r>
      <w:r w:rsidRPr="009A05F1">
        <w:rPr>
          <w:rFonts w:ascii="Times New Roman" w:hAnsi="Times New Roman" w:cs="Times New Roman"/>
        </w:rPr>
        <w:t xml:space="preserve"> </w:t>
      </w:r>
      <w:r>
        <w:rPr>
          <w:rFonts w:ascii="Times New Roman" w:hAnsi="Times New Roman" w:cs="Times New Roman"/>
        </w:rPr>
        <w:t xml:space="preserve">for the </w:t>
      </w:r>
      <w:r w:rsidR="00BC2743">
        <w:rPr>
          <w:rFonts w:ascii="Times New Roman" w:hAnsi="Times New Roman" w:cs="Times New Roman"/>
        </w:rPr>
        <w:t>CCCT</w:t>
      </w:r>
      <w:r>
        <w:rPr>
          <w:rFonts w:ascii="Times New Roman" w:hAnsi="Times New Roman" w:cs="Times New Roman"/>
        </w:rPr>
        <w:t xml:space="preserve"> and auxiliary boiler.  However, the conversion does not result any increase in hourly emission rates from either emission unit.  </w:t>
      </w:r>
      <w:r w:rsidR="002F0830" w:rsidRPr="00B11F72">
        <w:rPr>
          <w:rFonts w:ascii="Times New Roman" w:hAnsi="Times New Roman" w:cs="Times New Roman"/>
        </w:rPr>
        <w:t>P</w:t>
      </w:r>
      <w:r w:rsidR="00FF2BBB" w:rsidRPr="00B11F72">
        <w:rPr>
          <w:rFonts w:ascii="Times New Roman" w:hAnsi="Times New Roman" w:cs="Times New Roman"/>
        </w:rPr>
        <w:t xml:space="preserve">ropane </w:t>
      </w:r>
      <w:r w:rsidR="003B6828" w:rsidRPr="00B11F72">
        <w:rPr>
          <w:rFonts w:ascii="Times New Roman" w:hAnsi="Times New Roman" w:cs="Times New Roman"/>
        </w:rPr>
        <w:t>is</w:t>
      </w:r>
      <w:r w:rsidR="002F0830" w:rsidRPr="00B11F72">
        <w:rPr>
          <w:rFonts w:ascii="Times New Roman" w:hAnsi="Times New Roman" w:cs="Times New Roman"/>
        </w:rPr>
        <w:t xml:space="preserve"> currently </w:t>
      </w:r>
      <w:r w:rsidR="00FF2BBB" w:rsidRPr="00B11F72">
        <w:rPr>
          <w:rFonts w:ascii="Times New Roman" w:hAnsi="Times New Roman" w:cs="Times New Roman"/>
        </w:rPr>
        <w:t xml:space="preserve">utilized in the </w:t>
      </w:r>
      <w:r w:rsidR="003B6828" w:rsidRPr="00B11F72">
        <w:rPr>
          <w:rFonts w:ascii="Times New Roman" w:hAnsi="Times New Roman" w:cs="Times New Roman"/>
        </w:rPr>
        <w:t xml:space="preserve">SAP </w:t>
      </w:r>
      <w:r w:rsidR="00FF2BBB" w:rsidRPr="00B11F72">
        <w:rPr>
          <w:rFonts w:ascii="Times New Roman" w:hAnsi="Times New Roman" w:cs="Times New Roman"/>
        </w:rPr>
        <w:t>H</w:t>
      </w:r>
      <w:r w:rsidR="00FF2BBB" w:rsidRPr="00B11F72">
        <w:rPr>
          <w:rFonts w:ascii="Times New Roman" w:hAnsi="Times New Roman" w:cs="Times New Roman"/>
          <w:vertAlign w:val="subscript"/>
        </w:rPr>
        <w:t>2</w:t>
      </w:r>
      <w:r w:rsidR="00FF2BBB" w:rsidRPr="00B11F72">
        <w:rPr>
          <w:rFonts w:ascii="Times New Roman" w:hAnsi="Times New Roman" w:cs="Times New Roman"/>
        </w:rPr>
        <w:t>S to SO</w:t>
      </w:r>
      <w:r w:rsidR="00FF2BBB" w:rsidRPr="00B11F72">
        <w:rPr>
          <w:rFonts w:ascii="Times New Roman" w:hAnsi="Times New Roman" w:cs="Times New Roman"/>
          <w:vertAlign w:val="subscript"/>
        </w:rPr>
        <w:t>2</w:t>
      </w:r>
      <w:r w:rsidR="00FF2BBB" w:rsidRPr="00B11F72">
        <w:rPr>
          <w:rFonts w:ascii="Times New Roman" w:hAnsi="Times New Roman" w:cs="Times New Roman"/>
        </w:rPr>
        <w:t xml:space="preserve"> conversion furnace </w:t>
      </w:r>
      <w:r w:rsidR="002F0830" w:rsidRPr="00B11F72">
        <w:rPr>
          <w:rFonts w:ascii="Times New Roman" w:hAnsi="Times New Roman" w:cs="Times New Roman"/>
        </w:rPr>
        <w:t xml:space="preserve">burners </w:t>
      </w:r>
      <w:r w:rsidR="00FF2BBB" w:rsidRPr="00B11F72">
        <w:rPr>
          <w:rFonts w:ascii="Times New Roman" w:hAnsi="Times New Roman" w:cs="Times New Roman"/>
        </w:rPr>
        <w:t>and SO</w:t>
      </w:r>
      <w:r w:rsidR="00FF2BBB" w:rsidRPr="00B11F72">
        <w:rPr>
          <w:rFonts w:ascii="Times New Roman" w:hAnsi="Times New Roman" w:cs="Times New Roman"/>
          <w:vertAlign w:val="subscript"/>
        </w:rPr>
        <w:t>2</w:t>
      </w:r>
      <w:r w:rsidR="00FF2BBB" w:rsidRPr="00B11F72">
        <w:rPr>
          <w:rFonts w:ascii="Times New Roman" w:hAnsi="Times New Roman" w:cs="Times New Roman"/>
        </w:rPr>
        <w:t xml:space="preserve"> to SO</w:t>
      </w:r>
      <w:r w:rsidR="00FF2BBB" w:rsidRPr="00B11F72">
        <w:rPr>
          <w:rFonts w:ascii="Times New Roman" w:hAnsi="Times New Roman" w:cs="Times New Roman"/>
          <w:vertAlign w:val="subscript"/>
        </w:rPr>
        <w:t>3</w:t>
      </w:r>
      <w:r w:rsidR="00FF2BBB" w:rsidRPr="00B11F72">
        <w:rPr>
          <w:rFonts w:ascii="Times New Roman" w:hAnsi="Times New Roman" w:cs="Times New Roman"/>
        </w:rPr>
        <w:t xml:space="preserve"> converter preheater </w:t>
      </w:r>
      <w:r w:rsidR="002F0830" w:rsidRPr="00B11F72">
        <w:rPr>
          <w:rFonts w:ascii="Times New Roman" w:hAnsi="Times New Roman" w:cs="Times New Roman"/>
        </w:rPr>
        <w:t xml:space="preserve">burners </w:t>
      </w:r>
      <w:r w:rsidR="00FF2BBB" w:rsidRPr="00B11F72">
        <w:rPr>
          <w:rFonts w:ascii="Times New Roman" w:hAnsi="Times New Roman" w:cs="Times New Roman"/>
        </w:rPr>
        <w:t xml:space="preserve">and </w:t>
      </w:r>
      <w:r w:rsidR="002F0830" w:rsidRPr="00B11F72">
        <w:rPr>
          <w:rFonts w:ascii="Times New Roman" w:hAnsi="Times New Roman" w:cs="Times New Roman"/>
        </w:rPr>
        <w:t xml:space="preserve">in </w:t>
      </w:r>
      <w:r w:rsidR="00FF2BBB" w:rsidRPr="00B11F72">
        <w:rPr>
          <w:rFonts w:ascii="Times New Roman" w:hAnsi="Times New Roman" w:cs="Times New Roman"/>
        </w:rPr>
        <w:t xml:space="preserve">the </w:t>
      </w:r>
      <w:r w:rsidR="002F0830" w:rsidRPr="00B11F72">
        <w:rPr>
          <w:rFonts w:ascii="Times New Roman" w:hAnsi="Times New Roman" w:cs="Times New Roman"/>
        </w:rPr>
        <w:t>preheater</w:t>
      </w:r>
      <w:r w:rsidR="00FF2BBB" w:rsidRPr="00B11F72">
        <w:rPr>
          <w:rFonts w:ascii="Times New Roman" w:hAnsi="Times New Roman" w:cs="Times New Roman"/>
        </w:rPr>
        <w:t xml:space="preserve"> burners utilized in the solid fuel gasifier preheater.  </w:t>
      </w:r>
      <w:r w:rsidR="002F0830" w:rsidRPr="00B11F72">
        <w:rPr>
          <w:rFonts w:ascii="Times New Roman" w:hAnsi="Times New Roman" w:cs="Times New Roman"/>
        </w:rPr>
        <w:t>These burners will be converted to natural gas.</w:t>
      </w:r>
      <w:r w:rsidR="00FF2BBB" w:rsidRPr="00B11F72">
        <w:rPr>
          <w:rFonts w:ascii="Times New Roman" w:hAnsi="Times New Roman" w:cs="Times New Roman"/>
        </w:rPr>
        <w:t xml:space="preserve">  The heat inputs to both the </w:t>
      </w:r>
      <w:r w:rsidR="003B6828" w:rsidRPr="00B11F72">
        <w:rPr>
          <w:rFonts w:ascii="Times New Roman" w:hAnsi="Times New Roman" w:cs="Times New Roman"/>
        </w:rPr>
        <w:t>SAP burners</w:t>
      </w:r>
      <w:r w:rsidR="00FF2BBB" w:rsidRPr="00B11F72">
        <w:rPr>
          <w:rFonts w:ascii="Times New Roman" w:hAnsi="Times New Roman" w:cs="Times New Roman"/>
        </w:rPr>
        <w:t xml:space="preserve"> and solid fuel gasification system </w:t>
      </w:r>
      <w:r w:rsidR="003B6828" w:rsidRPr="00B11F72">
        <w:rPr>
          <w:rFonts w:ascii="Times New Roman" w:hAnsi="Times New Roman" w:cs="Times New Roman"/>
        </w:rPr>
        <w:t xml:space="preserve">burners </w:t>
      </w:r>
      <w:r w:rsidR="00FF2BBB" w:rsidRPr="00B11F72">
        <w:rPr>
          <w:rFonts w:ascii="Times New Roman" w:hAnsi="Times New Roman" w:cs="Times New Roman"/>
        </w:rPr>
        <w:t xml:space="preserve">will not change as a result of their conversion from propane to natural </w:t>
      </w:r>
      <w:r w:rsidR="002F0830" w:rsidRPr="00B11F72">
        <w:rPr>
          <w:rFonts w:ascii="Times New Roman" w:hAnsi="Times New Roman" w:cs="Times New Roman"/>
        </w:rPr>
        <w:t>gas and emission</w:t>
      </w:r>
      <w:r w:rsidR="003B6828" w:rsidRPr="00B11F72">
        <w:rPr>
          <w:rFonts w:ascii="Times New Roman" w:hAnsi="Times New Roman" w:cs="Times New Roman"/>
        </w:rPr>
        <w:t>s</w:t>
      </w:r>
      <w:r w:rsidR="002F0830" w:rsidRPr="00B11F72">
        <w:rPr>
          <w:rFonts w:ascii="Times New Roman" w:hAnsi="Times New Roman" w:cs="Times New Roman"/>
        </w:rPr>
        <w:t xml:space="preserve"> should not be affected</w:t>
      </w:r>
      <w:r w:rsidR="00FF2BBB" w:rsidRPr="00B11F72">
        <w:rPr>
          <w:rFonts w:ascii="Times New Roman" w:hAnsi="Times New Roman" w:cs="Times New Roman"/>
        </w:rPr>
        <w:t xml:space="preserve">  </w:t>
      </w:r>
    </w:p>
    <w:p w:rsidR="00C03F58" w:rsidRDefault="00912EF3" w:rsidP="009A1E14">
      <w:pPr>
        <w:pStyle w:val="ListParagraph"/>
        <w:widowControl w:val="0"/>
        <w:tabs>
          <w:tab w:val="left" w:pos="1170"/>
        </w:tabs>
        <w:spacing w:after="80" w:line="240" w:lineRule="auto"/>
        <w:ind w:left="0"/>
        <w:contextualSpacing w:val="0"/>
        <w:rPr>
          <w:rFonts w:ascii="Times New Roman" w:hAnsi="Times New Roman" w:cs="Times New Roman"/>
        </w:rPr>
      </w:pPr>
      <w:r>
        <w:rPr>
          <w:rFonts w:ascii="Times New Roman" w:hAnsi="Times New Roman" w:cs="Times New Roman"/>
        </w:rPr>
        <w:t>The conversion to natural gas for each affected</w:t>
      </w:r>
      <w:r w:rsidR="00C03F58" w:rsidRPr="009A05F1">
        <w:rPr>
          <w:rFonts w:ascii="Times New Roman" w:hAnsi="Times New Roman" w:cs="Times New Roman"/>
        </w:rPr>
        <w:t xml:space="preserve"> emission </w:t>
      </w:r>
      <w:r w:rsidRPr="009A05F1">
        <w:rPr>
          <w:rFonts w:ascii="Times New Roman" w:hAnsi="Times New Roman" w:cs="Times New Roman"/>
        </w:rPr>
        <w:t>unit</w:t>
      </w:r>
      <w:r w:rsidR="00C03F58" w:rsidRPr="009A05F1">
        <w:rPr>
          <w:rFonts w:ascii="Times New Roman" w:hAnsi="Times New Roman" w:cs="Times New Roman"/>
        </w:rPr>
        <w:t xml:space="preserve"> </w:t>
      </w:r>
      <w:r>
        <w:rPr>
          <w:rFonts w:ascii="Times New Roman" w:hAnsi="Times New Roman" w:cs="Times New Roman"/>
        </w:rPr>
        <w:t>will be incorporated in</w:t>
      </w:r>
      <w:r w:rsidR="003B6828">
        <w:rPr>
          <w:rFonts w:ascii="Times New Roman" w:hAnsi="Times New Roman" w:cs="Times New Roman"/>
        </w:rPr>
        <w:t>to</w:t>
      </w:r>
      <w:r>
        <w:rPr>
          <w:rFonts w:ascii="Times New Roman" w:hAnsi="Times New Roman" w:cs="Times New Roman"/>
        </w:rPr>
        <w:t xml:space="preserve"> permit PSD-FL-194J accordingly</w:t>
      </w:r>
      <w:r w:rsidR="00C03F58" w:rsidRPr="009A05F1">
        <w:rPr>
          <w:rFonts w:ascii="Times New Roman" w:hAnsi="Times New Roman" w:cs="Times New Roman"/>
        </w:rPr>
        <w:t xml:space="preserve">.  </w:t>
      </w:r>
      <w:r w:rsidR="00A40F13">
        <w:rPr>
          <w:rFonts w:ascii="Times New Roman" w:hAnsi="Times New Roman" w:cs="Times New Roman"/>
        </w:rPr>
        <w:t>In addition, language on the new syngas/natural gas burner configuration, along with the corresponding NO</w:t>
      </w:r>
      <w:r w:rsidR="00A40F13" w:rsidRPr="00A40F13">
        <w:rPr>
          <w:rFonts w:ascii="Times New Roman" w:hAnsi="Times New Roman" w:cs="Times New Roman"/>
          <w:vertAlign w:val="subscript"/>
        </w:rPr>
        <w:t>X</w:t>
      </w:r>
      <w:r w:rsidR="00A40F13">
        <w:rPr>
          <w:rFonts w:ascii="Times New Roman" w:hAnsi="Times New Roman" w:cs="Times New Roman"/>
        </w:rPr>
        <w:t xml:space="preserve"> emission control technology will also be included.</w:t>
      </w:r>
    </w:p>
    <w:p w:rsidR="006547D7" w:rsidRPr="00C03F58" w:rsidRDefault="00C03F58" w:rsidP="009A1E14">
      <w:pPr>
        <w:pStyle w:val="ListParagraph"/>
        <w:widowControl w:val="0"/>
        <w:numPr>
          <w:ilvl w:val="0"/>
          <w:numId w:val="54"/>
        </w:numPr>
        <w:spacing w:after="80"/>
        <w:ind w:hanging="720"/>
        <w:contextualSpacing w:val="0"/>
        <w:rPr>
          <w:rFonts w:ascii="Times New Roman Bold" w:hAnsi="Times New Roman Bold" w:cs="Times New Roman"/>
        </w:rPr>
      </w:pPr>
      <w:r>
        <w:rPr>
          <w:rFonts w:ascii="Times New Roman" w:hAnsi="Times New Roman" w:cs="Times New Roman"/>
          <w:u w:val="single"/>
        </w:rPr>
        <w:t xml:space="preserve">Heat Input </w:t>
      </w:r>
      <w:r w:rsidR="00B11F72">
        <w:rPr>
          <w:rFonts w:ascii="Times New Roman" w:hAnsi="Times New Roman" w:cs="Times New Roman"/>
          <w:u w:val="single"/>
        </w:rPr>
        <w:t>Rates</w:t>
      </w:r>
    </w:p>
    <w:p w:rsidR="00A40F13" w:rsidRDefault="00C03F58" w:rsidP="009A1E14">
      <w:pPr>
        <w:widowControl w:val="0"/>
        <w:spacing w:after="80"/>
        <w:rPr>
          <w:sz w:val="22"/>
          <w:szCs w:val="22"/>
        </w:rPr>
      </w:pPr>
      <w:r w:rsidRPr="00E9196D">
        <w:rPr>
          <w:sz w:val="22"/>
          <w:szCs w:val="22"/>
        </w:rPr>
        <w:t xml:space="preserve">Currently, the </w:t>
      </w:r>
      <w:r w:rsidR="00BC2743">
        <w:rPr>
          <w:sz w:val="22"/>
          <w:szCs w:val="22"/>
        </w:rPr>
        <w:t>CCCT</w:t>
      </w:r>
      <w:r w:rsidRPr="00E9196D">
        <w:rPr>
          <w:sz w:val="22"/>
          <w:szCs w:val="22"/>
        </w:rPr>
        <w:t xml:space="preserve"> is limited to a maximum heat input rating of 1,755 MMBtu/hr when firing </w:t>
      </w:r>
      <w:r w:rsidR="003F62F4">
        <w:rPr>
          <w:sz w:val="22"/>
          <w:szCs w:val="22"/>
        </w:rPr>
        <w:t>natural gas/</w:t>
      </w:r>
      <w:r w:rsidRPr="00E9196D">
        <w:rPr>
          <w:sz w:val="22"/>
          <w:szCs w:val="22"/>
        </w:rPr>
        <w:t xml:space="preserve">syngas and 1,765 MMBtu/hr when firing No. 2 fuel oil. </w:t>
      </w:r>
      <w:r w:rsidR="00E9196D" w:rsidRPr="00E9196D">
        <w:rPr>
          <w:sz w:val="22"/>
          <w:szCs w:val="22"/>
        </w:rPr>
        <w:t xml:space="preserve"> </w:t>
      </w:r>
      <w:r w:rsidRPr="00E9196D">
        <w:rPr>
          <w:sz w:val="22"/>
          <w:szCs w:val="22"/>
        </w:rPr>
        <w:t xml:space="preserve">The </w:t>
      </w:r>
      <w:r w:rsidR="00E9196D">
        <w:rPr>
          <w:sz w:val="22"/>
          <w:szCs w:val="22"/>
        </w:rPr>
        <w:t xml:space="preserve">applicant </w:t>
      </w:r>
      <w:r w:rsidRPr="00E9196D">
        <w:rPr>
          <w:sz w:val="22"/>
          <w:szCs w:val="22"/>
        </w:rPr>
        <w:t>request</w:t>
      </w:r>
      <w:r w:rsidR="00E9196D">
        <w:rPr>
          <w:sz w:val="22"/>
          <w:szCs w:val="22"/>
        </w:rPr>
        <w:t>ed</w:t>
      </w:r>
      <w:r w:rsidRPr="00E9196D">
        <w:rPr>
          <w:sz w:val="22"/>
          <w:szCs w:val="22"/>
        </w:rPr>
        <w:t xml:space="preserve"> </w:t>
      </w:r>
      <w:r w:rsidR="00E9196D">
        <w:rPr>
          <w:sz w:val="22"/>
          <w:szCs w:val="22"/>
        </w:rPr>
        <w:t xml:space="preserve">a </w:t>
      </w:r>
      <w:r w:rsidRPr="00E9196D">
        <w:rPr>
          <w:sz w:val="22"/>
          <w:szCs w:val="22"/>
        </w:rPr>
        <w:t xml:space="preserve">nominal rating </w:t>
      </w:r>
      <w:r w:rsidR="00E9196D">
        <w:rPr>
          <w:sz w:val="22"/>
          <w:szCs w:val="22"/>
        </w:rPr>
        <w:t xml:space="preserve">of </w:t>
      </w:r>
      <w:r w:rsidRPr="00E9196D">
        <w:rPr>
          <w:sz w:val="22"/>
          <w:szCs w:val="22"/>
        </w:rPr>
        <w:t xml:space="preserve">1,642 MMBtu/hr when firing syngas, natural gas or syngas augmented by natural gas with a 10% contingency.  </w:t>
      </w:r>
      <w:r w:rsidR="00E94A9E">
        <w:rPr>
          <w:sz w:val="22"/>
          <w:szCs w:val="22"/>
        </w:rPr>
        <w:t>The applicant subsequently requested that the heat input rates limits to the CCCT be changed from a high heat value (HHV) basis to a lower heating value (LHV) basis.  Based on information provided by the applicant, the conversions ratio (LHV/HHV) for syngas is 0.9</w:t>
      </w:r>
      <w:r w:rsidR="00A40F13">
        <w:rPr>
          <w:sz w:val="22"/>
          <w:szCs w:val="22"/>
        </w:rPr>
        <w:t>3</w:t>
      </w:r>
      <w:r w:rsidR="00E94A9E">
        <w:rPr>
          <w:sz w:val="22"/>
          <w:szCs w:val="22"/>
        </w:rPr>
        <w:t>55.  The Department f</w:t>
      </w:r>
      <w:r w:rsidR="00AD6032">
        <w:rPr>
          <w:sz w:val="22"/>
          <w:szCs w:val="22"/>
        </w:rPr>
        <w:t>ound information from the U.S. D</w:t>
      </w:r>
      <w:r w:rsidR="00E94A9E">
        <w:rPr>
          <w:sz w:val="22"/>
          <w:szCs w:val="22"/>
        </w:rPr>
        <w:t>epartment of Energy, Hydrogen Analysis Resource Center</w:t>
      </w:r>
      <w:r w:rsidR="00AD6032">
        <w:rPr>
          <w:rStyle w:val="FootnoteReference"/>
          <w:sz w:val="22"/>
          <w:szCs w:val="22"/>
        </w:rPr>
        <w:footnoteReference w:id="1"/>
      </w:r>
      <w:r w:rsidR="00E94A9E">
        <w:rPr>
          <w:sz w:val="22"/>
          <w:szCs w:val="22"/>
        </w:rPr>
        <w:t xml:space="preserve"> </w:t>
      </w:r>
      <w:r w:rsidR="00AD6032">
        <w:rPr>
          <w:sz w:val="22"/>
          <w:szCs w:val="22"/>
        </w:rPr>
        <w:t>that stated that the conversion ration of low sulfur fuel oil is 0.93</w:t>
      </w:r>
      <w:r w:rsidR="00135AF0">
        <w:rPr>
          <w:sz w:val="22"/>
          <w:szCs w:val="22"/>
        </w:rPr>
        <w:t xml:space="preserve"> and 0.91 for natural gas</w:t>
      </w:r>
      <w:r w:rsidR="00A40F13">
        <w:rPr>
          <w:sz w:val="22"/>
          <w:szCs w:val="22"/>
        </w:rPr>
        <w:t xml:space="preserve">.  To convert the previous allowable heat </w:t>
      </w:r>
      <w:r w:rsidR="00465491">
        <w:rPr>
          <w:sz w:val="22"/>
          <w:szCs w:val="22"/>
        </w:rPr>
        <w:t>input</w:t>
      </w:r>
      <w:r w:rsidR="00A40F13">
        <w:rPr>
          <w:sz w:val="22"/>
          <w:szCs w:val="22"/>
        </w:rPr>
        <w:t xml:space="preserve"> rate</w:t>
      </w:r>
      <w:r w:rsidR="00465491">
        <w:rPr>
          <w:sz w:val="22"/>
          <w:szCs w:val="22"/>
        </w:rPr>
        <w:t>s of 1,755 MMBtu/hr (syngas) and 1,765 MMBtu/hr (fuel oil)</w:t>
      </w:r>
      <w:r w:rsidR="00A40F13">
        <w:rPr>
          <w:sz w:val="22"/>
          <w:szCs w:val="22"/>
        </w:rPr>
        <w:t xml:space="preserve"> to a LHV basis you obtain</w:t>
      </w:r>
      <w:r w:rsidR="00135AF0">
        <w:rPr>
          <w:sz w:val="22"/>
          <w:szCs w:val="22"/>
        </w:rPr>
        <w:t xml:space="preserve"> (assume heat input for fuel oil for natural gas)</w:t>
      </w:r>
      <w:r w:rsidR="00A40F13">
        <w:rPr>
          <w:sz w:val="22"/>
          <w:szCs w:val="22"/>
        </w:rPr>
        <w:t>:</w:t>
      </w:r>
    </w:p>
    <w:p w:rsidR="00E94A9E" w:rsidRPr="00F042AD" w:rsidRDefault="00A40F13" w:rsidP="00A40F13">
      <w:pPr>
        <w:pStyle w:val="ListParagraph"/>
        <w:widowControl w:val="0"/>
        <w:numPr>
          <w:ilvl w:val="0"/>
          <w:numId w:val="59"/>
        </w:numPr>
        <w:spacing w:after="80"/>
        <w:ind w:left="360"/>
        <w:rPr>
          <w:rFonts w:ascii="Times New Roman" w:hAnsi="Times New Roman" w:cs="Times New Roman"/>
        </w:rPr>
      </w:pPr>
      <w:r w:rsidRPr="00A40F13">
        <w:rPr>
          <w:rFonts w:ascii="Times New Roman" w:hAnsi="Times New Roman" w:cs="Times New Roman"/>
        </w:rPr>
        <w:t xml:space="preserve">Syngas (LHV) = 1,755 MMBtu/hr x 0.9355 = </w:t>
      </w:r>
      <w:r w:rsidR="00465491">
        <w:rPr>
          <w:rFonts w:ascii="Times New Roman" w:hAnsi="Times New Roman" w:cs="Times New Roman"/>
        </w:rPr>
        <w:t>1,641.8 MMBtu/hr, us</w:t>
      </w:r>
      <w:r w:rsidR="00F042AD">
        <w:rPr>
          <w:rFonts w:ascii="Times New Roman" w:hAnsi="Times New Roman" w:cs="Times New Roman"/>
        </w:rPr>
        <w:t>e</w:t>
      </w:r>
      <w:r w:rsidR="00465491">
        <w:rPr>
          <w:rFonts w:ascii="Times New Roman" w:hAnsi="Times New Roman" w:cs="Times New Roman"/>
        </w:rPr>
        <w:t xml:space="preserve"> </w:t>
      </w:r>
      <w:r w:rsidR="00465491" w:rsidRPr="00F042AD">
        <w:rPr>
          <w:rFonts w:ascii="Times New Roman" w:hAnsi="Times New Roman" w:cs="Times New Roman"/>
          <w:u w:val="single"/>
        </w:rPr>
        <w:t>1,642 MMBtu/hr</w:t>
      </w:r>
    </w:p>
    <w:p w:rsidR="00F042AD" w:rsidRPr="00135AF0" w:rsidRDefault="00F042AD" w:rsidP="00A40F13">
      <w:pPr>
        <w:pStyle w:val="ListParagraph"/>
        <w:widowControl w:val="0"/>
        <w:numPr>
          <w:ilvl w:val="0"/>
          <w:numId w:val="59"/>
        </w:numPr>
        <w:spacing w:after="80"/>
        <w:ind w:left="360"/>
        <w:rPr>
          <w:rFonts w:ascii="Times New Roman" w:hAnsi="Times New Roman" w:cs="Times New Roman"/>
        </w:rPr>
      </w:pPr>
      <w:r w:rsidRPr="00F042AD">
        <w:rPr>
          <w:rFonts w:ascii="Times New Roman" w:hAnsi="Times New Roman" w:cs="Times New Roman"/>
        </w:rPr>
        <w:t>Fuel Oil</w:t>
      </w:r>
      <w:r>
        <w:rPr>
          <w:rFonts w:ascii="Times New Roman" w:hAnsi="Times New Roman" w:cs="Times New Roman"/>
        </w:rPr>
        <w:t xml:space="preserve"> (LHV) = 1,765 MMBtu/hr x 0.93 = 1,641.5 MMBtu/hr, also use </w:t>
      </w:r>
      <w:r w:rsidRPr="00135AF0">
        <w:rPr>
          <w:rFonts w:ascii="Times New Roman" w:hAnsi="Times New Roman" w:cs="Times New Roman"/>
          <w:u w:val="single"/>
        </w:rPr>
        <w:t>1,642 MMBtu/hr</w:t>
      </w:r>
    </w:p>
    <w:p w:rsidR="00135AF0" w:rsidRPr="00135AF0" w:rsidRDefault="00135AF0" w:rsidP="00A40F13">
      <w:pPr>
        <w:pStyle w:val="ListParagraph"/>
        <w:widowControl w:val="0"/>
        <w:numPr>
          <w:ilvl w:val="0"/>
          <w:numId w:val="59"/>
        </w:numPr>
        <w:spacing w:after="80"/>
        <w:ind w:left="360"/>
        <w:rPr>
          <w:rFonts w:ascii="Times New Roman" w:hAnsi="Times New Roman" w:cs="Times New Roman"/>
        </w:rPr>
      </w:pPr>
      <w:r w:rsidRPr="00135AF0">
        <w:rPr>
          <w:rFonts w:ascii="Times New Roman" w:hAnsi="Times New Roman" w:cs="Times New Roman"/>
        </w:rPr>
        <w:t>Natural Gas</w:t>
      </w:r>
      <w:r>
        <w:rPr>
          <w:rFonts w:ascii="Times New Roman" w:hAnsi="Times New Roman" w:cs="Times New Roman"/>
        </w:rPr>
        <w:t xml:space="preserve"> (LHV) = 1,765 MMBtu/hr x 0.91 = </w:t>
      </w:r>
      <w:r w:rsidR="00272AD4">
        <w:rPr>
          <w:rFonts w:ascii="Times New Roman" w:hAnsi="Times New Roman" w:cs="Times New Roman"/>
        </w:rPr>
        <w:t xml:space="preserve">1,606,15 MMBtu/hr which is ~2% less than 1,642 MMBtu/hr, use </w:t>
      </w:r>
      <w:r w:rsidR="00272AD4" w:rsidRPr="00272AD4">
        <w:rPr>
          <w:rFonts w:ascii="Times New Roman" w:hAnsi="Times New Roman" w:cs="Times New Roman"/>
          <w:u w:val="single"/>
        </w:rPr>
        <w:t>1,642 MMBtu/hr</w:t>
      </w:r>
    </w:p>
    <w:p w:rsidR="00C03F58" w:rsidRDefault="00AD6032" w:rsidP="009A1E14">
      <w:pPr>
        <w:widowControl w:val="0"/>
        <w:spacing w:after="80"/>
        <w:rPr>
          <w:sz w:val="22"/>
          <w:szCs w:val="22"/>
        </w:rPr>
      </w:pPr>
      <w:r>
        <w:rPr>
          <w:sz w:val="22"/>
          <w:szCs w:val="22"/>
        </w:rPr>
        <w:t>The applicant’s request</w:t>
      </w:r>
      <w:r w:rsidR="00E9196D">
        <w:rPr>
          <w:sz w:val="22"/>
          <w:szCs w:val="22"/>
        </w:rPr>
        <w:t xml:space="preserve"> represents a potential increase in the maximum heat input rate.  The Department will authorize </w:t>
      </w:r>
      <w:r w:rsidR="00F042AD">
        <w:rPr>
          <w:sz w:val="24"/>
          <w:szCs w:val="24"/>
        </w:rPr>
        <w:t xml:space="preserve">a </w:t>
      </w:r>
      <w:r w:rsidR="00C94DCE">
        <w:rPr>
          <w:sz w:val="24"/>
          <w:szCs w:val="24"/>
        </w:rPr>
        <w:t>permitted</w:t>
      </w:r>
      <w:r w:rsidR="00F042AD">
        <w:rPr>
          <w:sz w:val="24"/>
          <w:szCs w:val="24"/>
        </w:rPr>
        <w:t xml:space="preserve"> heat input rate to the CCCT of 1,642 MMBtu/hr when firing syngas, syngas augmented by natural gas, natural gas alone, or No. 2 fuel oil alone</w:t>
      </w:r>
      <w:r w:rsidR="003F62F4">
        <w:rPr>
          <w:sz w:val="22"/>
          <w:szCs w:val="22"/>
        </w:rPr>
        <w:t xml:space="preserve">.  </w:t>
      </w:r>
      <w:r w:rsidR="00C94DCE">
        <w:rPr>
          <w:sz w:val="22"/>
          <w:szCs w:val="22"/>
        </w:rPr>
        <w:t>This heat input rate will be b</w:t>
      </w:r>
      <w:r w:rsidR="00C94DCE" w:rsidRPr="00C94DCE">
        <w:rPr>
          <w:sz w:val="22"/>
          <w:szCs w:val="22"/>
        </w:rPr>
        <w:t xml:space="preserve">ased on a compressor inlet temperature of 59 ºF, fuel temperature of 619°F, diluent temperature </w:t>
      </w:r>
      <w:r w:rsidR="00C94DCE" w:rsidRPr="00C94DCE">
        <w:rPr>
          <w:sz w:val="22"/>
          <w:szCs w:val="22"/>
        </w:rPr>
        <w:lastRenderedPageBreak/>
        <w:t>of 616°F, no air extraction, and based and the lower heating value (LHV) of each fuel</w:t>
      </w:r>
      <w:r w:rsidR="00C94DCE">
        <w:rPr>
          <w:sz w:val="22"/>
          <w:szCs w:val="22"/>
        </w:rPr>
        <w:t xml:space="preserve">. </w:t>
      </w:r>
      <w:r w:rsidR="00C94DCE" w:rsidRPr="00C94DCE">
        <w:rPr>
          <w:sz w:val="22"/>
          <w:szCs w:val="22"/>
        </w:rPr>
        <w:t xml:space="preserve"> </w:t>
      </w:r>
      <w:r w:rsidR="00F042AD">
        <w:rPr>
          <w:sz w:val="22"/>
          <w:szCs w:val="22"/>
        </w:rPr>
        <w:t xml:space="preserve">In addition, the Department </w:t>
      </w:r>
      <w:r w:rsidR="00E2010B">
        <w:rPr>
          <w:sz w:val="22"/>
          <w:szCs w:val="22"/>
        </w:rPr>
        <w:t xml:space="preserve">will required </w:t>
      </w:r>
      <w:r w:rsidR="00F042AD">
        <w:rPr>
          <w:sz w:val="22"/>
          <w:szCs w:val="22"/>
        </w:rPr>
        <w:t>for compliance testing</w:t>
      </w:r>
      <w:r w:rsidR="00E2010B">
        <w:rPr>
          <w:sz w:val="22"/>
          <w:szCs w:val="22"/>
        </w:rPr>
        <w:t xml:space="preserve"> purposes</w:t>
      </w:r>
      <w:r w:rsidR="00F042AD">
        <w:rPr>
          <w:sz w:val="22"/>
          <w:szCs w:val="22"/>
        </w:rPr>
        <w:t xml:space="preserve"> that </w:t>
      </w:r>
      <w:r w:rsidR="00F042AD">
        <w:rPr>
          <w:sz w:val="24"/>
          <w:szCs w:val="24"/>
        </w:rPr>
        <w:t xml:space="preserve">initial and annual tests shall be conducted at 90% or greater of the </w:t>
      </w:r>
      <w:r w:rsidR="00C94DCE">
        <w:rPr>
          <w:sz w:val="24"/>
          <w:szCs w:val="24"/>
        </w:rPr>
        <w:t>permitted</w:t>
      </w:r>
      <w:r w:rsidR="00F042AD">
        <w:rPr>
          <w:sz w:val="24"/>
          <w:szCs w:val="24"/>
        </w:rPr>
        <w:t xml:space="preserve"> heat input rate.  If it is impracticable to test within the described range, the unit may be tested at less than the described range; in this case, subsequent emissions unit operation is limited to 110 percent of the test rate until a new test is conducted.  Once the unit is so limited, operation at higher capacities is allowed for no more than 15 consecutive days for the purpose of additional compliance testing to regain the authority to operate at the permitted capacity</w:t>
      </w:r>
      <w:r w:rsidR="00F042AD">
        <w:rPr>
          <w:sz w:val="22"/>
          <w:szCs w:val="22"/>
        </w:rPr>
        <w:t>.  Based on these requirements, t</w:t>
      </w:r>
      <w:r w:rsidR="003F62F4">
        <w:rPr>
          <w:sz w:val="22"/>
          <w:szCs w:val="22"/>
        </w:rPr>
        <w:t xml:space="preserve">here will be no increase in the maximum hourly emission rates and no new NSPS provisions will be triggered.  </w:t>
      </w:r>
    </w:p>
    <w:p w:rsidR="00FB395B" w:rsidRPr="00EE03B1" w:rsidRDefault="00EE03B1" w:rsidP="009A1E14">
      <w:pPr>
        <w:pStyle w:val="ListParagraph"/>
        <w:widowControl w:val="0"/>
        <w:numPr>
          <w:ilvl w:val="0"/>
          <w:numId w:val="55"/>
        </w:numPr>
        <w:spacing w:after="80"/>
        <w:ind w:hanging="720"/>
        <w:contextualSpacing w:val="0"/>
        <w:rPr>
          <w:rFonts w:ascii="Times New Roman" w:hAnsi="Times New Roman" w:cs="Times New Roman"/>
          <w:b/>
        </w:rPr>
      </w:pPr>
      <w:r w:rsidRPr="00EE03B1">
        <w:rPr>
          <w:rFonts w:ascii="Times New Roman" w:hAnsi="Times New Roman" w:cs="Times New Roman"/>
          <w:b/>
        </w:rPr>
        <w:t>DLN Tuning (Units 4 and 5)</w:t>
      </w:r>
    </w:p>
    <w:p w:rsidR="003B6828" w:rsidRDefault="007125C8" w:rsidP="009A1E14">
      <w:pPr>
        <w:widowControl w:val="0"/>
        <w:spacing w:after="80"/>
        <w:rPr>
          <w:sz w:val="22"/>
          <w:szCs w:val="22"/>
        </w:rPr>
      </w:pPr>
      <w:r w:rsidRPr="007125C8">
        <w:rPr>
          <w:sz w:val="22"/>
          <w:szCs w:val="22"/>
        </w:rPr>
        <w:t xml:space="preserve">TECO </w:t>
      </w:r>
      <w:r>
        <w:rPr>
          <w:sz w:val="22"/>
          <w:szCs w:val="22"/>
        </w:rPr>
        <w:t xml:space="preserve">made a </w:t>
      </w:r>
      <w:r w:rsidRPr="007125C8">
        <w:rPr>
          <w:sz w:val="22"/>
          <w:szCs w:val="22"/>
        </w:rPr>
        <w:t>request to modify the DLN tuning requirement</w:t>
      </w:r>
      <w:r w:rsidR="00984BB5">
        <w:rPr>
          <w:sz w:val="22"/>
          <w:szCs w:val="22"/>
        </w:rPr>
        <w:t>s</w:t>
      </w:r>
      <w:r w:rsidRPr="007125C8">
        <w:rPr>
          <w:sz w:val="22"/>
          <w:szCs w:val="22"/>
        </w:rPr>
        <w:t xml:space="preserve"> for the simple cycle gas-fired turbine Units 4 and 5</w:t>
      </w:r>
      <w:r w:rsidR="00984BB5">
        <w:rPr>
          <w:sz w:val="22"/>
          <w:szCs w:val="22"/>
        </w:rPr>
        <w:t>.  Specifically, TECO requested that the</w:t>
      </w:r>
      <w:r w:rsidRPr="007125C8">
        <w:rPr>
          <w:sz w:val="22"/>
          <w:szCs w:val="22"/>
        </w:rPr>
        <w:t xml:space="preserve"> reporting of excess NO</w:t>
      </w:r>
      <w:r w:rsidRPr="007125C8">
        <w:rPr>
          <w:sz w:val="22"/>
          <w:szCs w:val="22"/>
          <w:vertAlign w:val="subscript"/>
        </w:rPr>
        <w:t>X</w:t>
      </w:r>
      <w:r w:rsidRPr="007125C8">
        <w:rPr>
          <w:sz w:val="22"/>
          <w:szCs w:val="22"/>
        </w:rPr>
        <w:t xml:space="preserve"> emissions on a quarterly basis </w:t>
      </w:r>
      <w:r w:rsidR="00984BB5">
        <w:rPr>
          <w:sz w:val="22"/>
          <w:szCs w:val="22"/>
        </w:rPr>
        <w:t xml:space="preserve">be required </w:t>
      </w:r>
      <w:r w:rsidRPr="007125C8">
        <w:rPr>
          <w:sz w:val="22"/>
          <w:szCs w:val="22"/>
        </w:rPr>
        <w:t xml:space="preserve">and </w:t>
      </w:r>
      <w:r w:rsidR="00984BB5">
        <w:rPr>
          <w:sz w:val="22"/>
          <w:szCs w:val="22"/>
        </w:rPr>
        <w:t>that</w:t>
      </w:r>
      <w:r w:rsidRPr="007125C8">
        <w:rPr>
          <w:sz w:val="22"/>
          <w:szCs w:val="22"/>
        </w:rPr>
        <w:t xml:space="preserve"> the requirement to notify the Compliance Authority at least one day in advance with details of the activity and a proposed tuning schedule</w:t>
      </w:r>
      <w:r w:rsidR="00984BB5">
        <w:rPr>
          <w:sz w:val="22"/>
          <w:szCs w:val="22"/>
        </w:rPr>
        <w:t xml:space="preserve"> be removed</w:t>
      </w:r>
      <w:r w:rsidRPr="007125C8">
        <w:rPr>
          <w:sz w:val="22"/>
          <w:szCs w:val="22"/>
        </w:rPr>
        <w:t>.</w:t>
      </w:r>
      <w:r w:rsidR="00984BB5">
        <w:rPr>
          <w:sz w:val="22"/>
          <w:szCs w:val="22"/>
        </w:rPr>
        <w:t xml:space="preserve">  To accomplish these changes, t</w:t>
      </w:r>
      <w:r w:rsidR="00984BB5" w:rsidRPr="00984BB5">
        <w:rPr>
          <w:sz w:val="22"/>
          <w:szCs w:val="22"/>
        </w:rPr>
        <w:t>he appropriate permit conditions in permit PSD-FL-</w:t>
      </w:r>
      <w:r w:rsidR="00984BB5">
        <w:rPr>
          <w:sz w:val="22"/>
          <w:szCs w:val="22"/>
        </w:rPr>
        <w:t>3</w:t>
      </w:r>
      <w:r w:rsidR="00984BB5" w:rsidRPr="00984BB5">
        <w:rPr>
          <w:sz w:val="22"/>
          <w:szCs w:val="22"/>
        </w:rPr>
        <w:t>63B (Project No. 1050233-030-AC).</w:t>
      </w:r>
    </w:p>
    <w:p w:rsidR="00193F10" w:rsidRPr="006547D7" w:rsidRDefault="00193F10" w:rsidP="009A1E14">
      <w:pPr>
        <w:pStyle w:val="ListParagraph"/>
        <w:widowControl w:val="0"/>
        <w:numPr>
          <w:ilvl w:val="0"/>
          <w:numId w:val="5"/>
        </w:numPr>
        <w:spacing w:after="80"/>
        <w:ind w:hanging="720"/>
        <w:contextualSpacing w:val="0"/>
        <w:rPr>
          <w:rFonts w:ascii="Times New Roman" w:hAnsi="Times New Roman" w:cs="Times New Roman"/>
          <w:b/>
          <w:caps/>
        </w:rPr>
      </w:pPr>
      <w:r w:rsidRPr="006547D7">
        <w:rPr>
          <w:rFonts w:ascii="Times New Roman" w:hAnsi="Times New Roman" w:cs="Times New Roman"/>
          <w:b/>
          <w:caps/>
        </w:rPr>
        <w:t>Preliminary Determination</w:t>
      </w:r>
    </w:p>
    <w:p w:rsidR="00193F10" w:rsidRDefault="00193F10" w:rsidP="009A1E14">
      <w:pPr>
        <w:widowControl w:val="0"/>
        <w:spacing w:after="80"/>
        <w:rPr>
          <w:sz w:val="22"/>
        </w:rPr>
      </w:pPr>
      <w:r>
        <w:rPr>
          <w:sz w:val="22"/>
        </w:rPr>
        <w:t xml:space="preserve">The Department makes a preliminary determination that the proposed project will comply with all applicable state and federal air pollution regulations as conditioned by the draft permit.  This determination is based on a technical review of the complete application, reasonable assurances provided by the applicant, and the conditions specified in the draft permit.  </w:t>
      </w:r>
      <w:r w:rsidRPr="002A28C2">
        <w:rPr>
          <w:sz w:val="22"/>
        </w:rPr>
        <w:t xml:space="preserve">No air quality modeling analysis is required because the project does not result in a significant increase in emissions.  </w:t>
      </w:r>
      <w:r w:rsidR="00DE15E2">
        <w:rPr>
          <w:sz w:val="22"/>
        </w:rPr>
        <w:t>David Read</w:t>
      </w:r>
      <w:r>
        <w:rPr>
          <w:sz w:val="22"/>
        </w:rPr>
        <w:t xml:space="preserve"> is the project engineer responsible for reviewing the application and drafting the permit.  Additional details of this analysis may be obtained by contacting the project engineer at the Department’s </w:t>
      </w:r>
      <w:r w:rsidR="00F94821">
        <w:rPr>
          <w:sz w:val="22"/>
        </w:rPr>
        <w:t>Office of Permitting and Compliance</w:t>
      </w:r>
      <w:r>
        <w:rPr>
          <w:sz w:val="22"/>
        </w:rPr>
        <w:t xml:space="preserve"> at Mail Station #5505, 2600 Blair Stone Road, Tallahassee, Florida  32399-2400.</w:t>
      </w:r>
    </w:p>
    <w:sectPr w:rsidR="00193F10" w:rsidSect="009A486C">
      <w:headerReference w:type="default" r:id="rId13"/>
      <w:footerReference w:type="default" r:id="rId14"/>
      <w:headerReference w:type="first" r:id="rId15"/>
      <w:footerReference w:type="first" r:id="rId16"/>
      <w:type w:val="continuous"/>
      <w:pgSz w:w="12240" w:h="15840" w:code="1"/>
      <w:pgMar w:top="1440" w:right="1440" w:bottom="1440" w:left="1440" w:header="720" w:footer="386" w:gutter="0"/>
      <w:paperSrc w:first="15" w:other="15"/>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35AF0" w:rsidRDefault="00135AF0">
      <w:r>
        <w:separator/>
      </w:r>
    </w:p>
  </w:endnote>
  <w:endnote w:type="continuationSeparator" w:id="0">
    <w:p w:rsidR="00135AF0" w:rsidRDefault="00135AF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Times New Roman Bold">
    <w:panose1 w:val="02020803070505020304"/>
    <w:charset w:val="00"/>
    <w:family w:val="roman"/>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5AF0" w:rsidRPr="00C02BEB" w:rsidRDefault="00135AF0" w:rsidP="001F10B9">
    <w:pPr>
      <w:pBdr>
        <w:top w:val="single" w:sz="6" w:space="1" w:color="auto"/>
      </w:pBdr>
      <w:tabs>
        <w:tab w:val="right" w:pos="9360"/>
      </w:tabs>
      <w:spacing w:before="240"/>
      <w:rPr>
        <w:rStyle w:val="PageNumber"/>
        <w:highlight w:val="yellow"/>
      </w:rPr>
    </w:pPr>
    <w:r>
      <w:rPr>
        <w:rStyle w:val="PageNumber"/>
      </w:rPr>
      <w:t>Tampa Electric Company</w:t>
    </w:r>
    <w:r w:rsidRPr="00C02BEB">
      <w:rPr>
        <w:rStyle w:val="PageNumber"/>
      </w:rPr>
      <w:tab/>
    </w:r>
    <w:r w:rsidRPr="00F722ED">
      <w:rPr>
        <w:rStyle w:val="PageNumber"/>
      </w:rPr>
      <w:t>Project No</w:t>
    </w:r>
    <w:r>
      <w:rPr>
        <w:rStyle w:val="PageNumber"/>
      </w:rPr>
      <w:t>s</w:t>
    </w:r>
    <w:r w:rsidRPr="00F722ED">
      <w:rPr>
        <w:rStyle w:val="PageNumber"/>
      </w:rPr>
      <w:t>. 1050233-02</w:t>
    </w:r>
    <w:r>
      <w:rPr>
        <w:rStyle w:val="PageNumber"/>
      </w:rPr>
      <w:t>9</w:t>
    </w:r>
    <w:r w:rsidRPr="00F722ED">
      <w:rPr>
        <w:rStyle w:val="PageNumber"/>
      </w:rPr>
      <w:t>-AC</w:t>
    </w:r>
    <w:r>
      <w:rPr>
        <w:rStyle w:val="PageNumber"/>
      </w:rPr>
      <w:t xml:space="preserve"> and </w:t>
    </w:r>
    <w:r w:rsidRPr="00CB75EE">
      <w:t>1050233-</w:t>
    </w:r>
    <w:r>
      <w:t>032</w:t>
    </w:r>
    <w:r w:rsidRPr="00CB75EE">
      <w:t>-AC</w:t>
    </w:r>
  </w:p>
  <w:p w:rsidR="00135AF0" w:rsidRPr="00C02BEB" w:rsidRDefault="00135AF0" w:rsidP="001F10B9">
    <w:pPr>
      <w:pBdr>
        <w:top w:val="single" w:sz="6" w:space="1" w:color="auto"/>
      </w:pBdr>
      <w:tabs>
        <w:tab w:val="right" w:pos="9360"/>
      </w:tabs>
      <w:rPr>
        <w:rStyle w:val="PageNumber"/>
      </w:rPr>
    </w:pPr>
    <w:r>
      <w:rPr>
        <w:rStyle w:val="PageNumber"/>
      </w:rPr>
      <w:t>Polk Power Station, Polk County</w:t>
    </w:r>
    <w:r w:rsidRPr="00C02BEB">
      <w:rPr>
        <w:rStyle w:val="PageNumber"/>
      </w:rPr>
      <w:tab/>
    </w:r>
    <w:r w:rsidRPr="00543D6B">
      <w:t>PSD-FL-194J</w:t>
    </w:r>
    <w:r>
      <w:t>,</w:t>
    </w:r>
    <w:r w:rsidRPr="00543D6B">
      <w:t xml:space="preserve"> </w:t>
    </w:r>
    <w:r>
      <w:t>PSD-FL-</w:t>
    </w:r>
    <w:r w:rsidRPr="00543D6B">
      <w:t>-263B and</w:t>
    </w:r>
    <w:r>
      <w:t xml:space="preserve"> PSD-FL-363C</w:t>
    </w:r>
  </w:p>
  <w:p w:rsidR="00135AF0" w:rsidRDefault="00135AF0">
    <w:pPr>
      <w:pStyle w:val="Footer"/>
      <w:tabs>
        <w:tab w:val="clear" w:pos="4320"/>
        <w:tab w:val="clear" w:pos="8640"/>
      </w:tabs>
      <w:jc w:val="center"/>
    </w:pPr>
    <w:r>
      <w:rPr>
        <w:rStyle w:val="PageNumber"/>
      </w:rPr>
      <w:t xml:space="preserve">Page </w:t>
    </w:r>
    <w:r w:rsidR="00555EB5">
      <w:rPr>
        <w:rStyle w:val="PageNumber"/>
      </w:rPr>
      <w:fldChar w:fldCharType="begin"/>
    </w:r>
    <w:r>
      <w:rPr>
        <w:rStyle w:val="PageNumber"/>
      </w:rPr>
      <w:instrText xml:space="preserve"> PAGE </w:instrText>
    </w:r>
    <w:r w:rsidR="00555EB5">
      <w:rPr>
        <w:rStyle w:val="PageNumber"/>
      </w:rPr>
      <w:fldChar w:fldCharType="separate"/>
    </w:r>
    <w:r w:rsidR="001F6B0E">
      <w:rPr>
        <w:rStyle w:val="PageNumber"/>
        <w:noProof/>
      </w:rPr>
      <w:t>6</w:t>
    </w:r>
    <w:r w:rsidR="00555EB5">
      <w:rPr>
        <w:rStyle w:val="PageNumber"/>
      </w:rPr>
      <w:fldChar w:fldCharType="end"/>
    </w:r>
    <w:r>
      <w:rPr>
        <w:rStyle w:val="PageNumber"/>
      </w:rPr>
      <w:t xml:space="preserve"> of </w:t>
    </w:r>
    <w:r w:rsidR="00555EB5">
      <w:rPr>
        <w:rStyle w:val="PageNumber"/>
      </w:rPr>
      <w:fldChar w:fldCharType="begin"/>
    </w:r>
    <w:r>
      <w:rPr>
        <w:rStyle w:val="PageNumber"/>
      </w:rPr>
      <w:instrText xml:space="preserve"> NUMPAGES </w:instrText>
    </w:r>
    <w:r w:rsidR="00555EB5">
      <w:rPr>
        <w:rStyle w:val="PageNumber"/>
      </w:rPr>
      <w:fldChar w:fldCharType="separate"/>
    </w:r>
    <w:r w:rsidR="001F6B0E">
      <w:rPr>
        <w:rStyle w:val="PageNumber"/>
        <w:noProof/>
      </w:rPr>
      <w:t>13</w:t>
    </w:r>
    <w:r w:rsidR="00555EB5">
      <w:rPr>
        <w:rStyle w:val="PageNumber"/>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5AF0" w:rsidRDefault="00135AF0">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35AF0" w:rsidRDefault="00135AF0">
      <w:r>
        <w:separator/>
      </w:r>
    </w:p>
  </w:footnote>
  <w:footnote w:type="continuationSeparator" w:id="0">
    <w:p w:rsidR="00135AF0" w:rsidRDefault="00135AF0">
      <w:r>
        <w:continuationSeparator/>
      </w:r>
    </w:p>
  </w:footnote>
  <w:footnote w:id="1">
    <w:p w:rsidR="00135AF0" w:rsidRDefault="00135AF0">
      <w:pPr>
        <w:pStyle w:val="FootnoteText"/>
      </w:pPr>
      <w:r>
        <w:rPr>
          <w:rStyle w:val="FootnoteReference"/>
        </w:rPr>
        <w:footnoteRef/>
      </w:r>
      <w:r>
        <w:t xml:space="preserve">  </w:t>
      </w:r>
      <w:hyperlink r:id="rId1" w:history="1">
        <w:r w:rsidRPr="00BB7EA3">
          <w:rPr>
            <w:rStyle w:val="Hyperlink"/>
          </w:rPr>
          <w:t>http://hydrogen.pnl.gov/cocoon/morf/hydrogen/site_specific/fuel_heating_calculator?canprint=false</w:t>
        </w:r>
      </w:hyperlink>
      <w:r>
        <w:t xml:space="preserve">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5AF0" w:rsidRDefault="00135AF0">
    <w:pPr>
      <w:pStyle w:val="Header"/>
      <w:pBdr>
        <w:bottom w:val="single" w:sz="6" w:space="1" w:color="auto"/>
      </w:pBdr>
      <w:spacing w:after="240"/>
      <w:jc w:val="center"/>
      <w:rPr>
        <w:b/>
        <w:caps/>
        <w:sz w:val="22"/>
        <w:u w:val="single"/>
      </w:rPr>
    </w:pPr>
    <w:r>
      <w:rPr>
        <w:b/>
        <w:caps/>
        <w:sz w:val="22"/>
      </w:rPr>
      <w:t>TECHNICAL EVALUATION and PRELIMINARY DETERMINATION</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5AF0" w:rsidRDefault="00135AF0">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7169EA"/>
    <w:multiLevelType w:val="hybridMultilevel"/>
    <w:tmpl w:val="01403A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4AA1286"/>
    <w:multiLevelType w:val="hybridMultilevel"/>
    <w:tmpl w:val="E4983A96"/>
    <w:lvl w:ilvl="0" w:tplc="214CA9D6">
      <w:start w:val="2"/>
      <w:numFmt w:val="decimal"/>
      <w:lvlText w:val="%1.2"/>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5A53038"/>
    <w:multiLevelType w:val="hybridMultilevel"/>
    <w:tmpl w:val="1944CACC"/>
    <w:lvl w:ilvl="0" w:tplc="123AA9D6">
      <w:start w:val="1"/>
      <w:numFmt w:val="decimal"/>
      <w:lvlText w:val="%1.4"/>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67B4440"/>
    <w:multiLevelType w:val="hybridMultilevel"/>
    <w:tmpl w:val="0AC23756"/>
    <w:lvl w:ilvl="0" w:tplc="72CEAFDC">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8FB3679"/>
    <w:multiLevelType w:val="hybridMultilevel"/>
    <w:tmpl w:val="D9726B7E"/>
    <w:lvl w:ilvl="0" w:tplc="942E390C">
      <w:start w:val="4"/>
      <w:numFmt w:val="decimal"/>
      <w:lvlText w:val="%1.1.1"/>
      <w:lvlJc w:val="left"/>
      <w:pPr>
        <w:ind w:left="720" w:hanging="360"/>
      </w:pPr>
      <w:rPr>
        <w:rFonts w:hint="default"/>
      </w:rPr>
    </w:lvl>
    <w:lvl w:ilvl="1" w:tplc="2AAEA41C">
      <w:start w:val="1"/>
      <w:numFmt w:val="decimal"/>
      <w:lvlText w:val="%2.1"/>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5713ACF"/>
    <w:multiLevelType w:val="hybridMultilevel"/>
    <w:tmpl w:val="C11E35E6"/>
    <w:lvl w:ilvl="0" w:tplc="42504186">
      <w:start w:val="4"/>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8953A15"/>
    <w:multiLevelType w:val="hybridMultilevel"/>
    <w:tmpl w:val="0FD49936"/>
    <w:lvl w:ilvl="0" w:tplc="F3824B46">
      <w:start w:val="3"/>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95334FA"/>
    <w:multiLevelType w:val="hybridMultilevel"/>
    <w:tmpl w:val="65B40C86"/>
    <w:lvl w:ilvl="0" w:tplc="00B69EE6">
      <w:start w:val="3"/>
      <w:numFmt w:val="decimal"/>
      <w:lvlText w:val="%1.2.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9C12CD6"/>
    <w:multiLevelType w:val="hybridMultilevel"/>
    <w:tmpl w:val="3112D528"/>
    <w:lvl w:ilvl="0" w:tplc="0409000F">
      <w:start w:val="1"/>
      <w:numFmt w:val="decimal"/>
      <w:lvlText w:val="%1."/>
      <w:lvlJc w:val="left"/>
      <w:pPr>
        <w:ind w:left="720" w:hanging="360"/>
      </w:pPr>
      <w:rPr>
        <w:rFonts w:hint="default"/>
      </w:rPr>
    </w:lvl>
    <w:lvl w:ilvl="1" w:tplc="2AAEA41C">
      <w:start w:val="1"/>
      <w:numFmt w:val="decimal"/>
      <w:lvlText w:val="%2.1"/>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A4A4865"/>
    <w:multiLevelType w:val="hybridMultilevel"/>
    <w:tmpl w:val="5C7A0E78"/>
    <w:lvl w:ilvl="0" w:tplc="B5DAE890">
      <w:start w:val="4"/>
      <w:numFmt w:val="decimal"/>
      <w:lvlText w:val="%1.2.3"/>
      <w:lvlJc w:val="left"/>
      <w:pPr>
        <w:ind w:left="720" w:hanging="360"/>
      </w:pPr>
      <w:rPr>
        <w:rFonts w:hint="default"/>
      </w:rPr>
    </w:lvl>
    <w:lvl w:ilvl="1" w:tplc="2AAEA41C">
      <w:start w:val="1"/>
      <w:numFmt w:val="decimal"/>
      <w:lvlText w:val="%2.1"/>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1DC3633"/>
    <w:multiLevelType w:val="hybridMultilevel"/>
    <w:tmpl w:val="250CA05A"/>
    <w:lvl w:ilvl="0" w:tplc="55F64902">
      <w:start w:val="4"/>
      <w:numFmt w:val="decimal"/>
      <w:lvlText w:val="%1.2.2.3"/>
      <w:lvlJc w:val="left"/>
      <w:pPr>
        <w:ind w:left="720" w:hanging="360"/>
      </w:pPr>
      <w:rPr>
        <w:rFonts w:hint="default"/>
      </w:rPr>
    </w:lvl>
    <w:lvl w:ilvl="1" w:tplc="2AAEA41C">
      <w:start w:val="1"/>
      <w:numFmt w:val="decimal"/>
      <w:lvlText w:val="%2.1"/>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1EC0E60"/>
    <w:multiLevelType w:val="hybridMultilevel"/>
    <w:tmpl w:val="08A62808"/>
    <w:lvl w:ilvl="0" w:tplc="6AE8C83A">
      <w:start w:val="4"/>
      <w:numFmt w:val="decimal"/>
      <w:lvlText w:val="%1.2.2"/>
      <w:lvlJc w:val="left"/>
      <w:pPr>
        <w:ind w:left="720" w:hanging="360"/>
      </w:pPr>
      <w:rPr>
        <w:rFonts w:hint="default"/>
      </w:rPr>
    </w:lvl>
    <w:lvl w:ilvl="1" w:tplc="2AAEA41C">
      <w:start w:val="1"/>
      <w:numFmt w:val="decimal"/>
      <w:lvlText w:val="%2.1"/>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28E491C"/>
    <w:multiLevelType w:val="hybridMultilevel"/>
    <w:tmpl w:val="89BC9908"/>
    <w:lvl w:ilvl="0" w:tplc="F6EA2E38">
      <w:start w:val="4"/>
      <w:numFmt w:val="decimal"/>
      <w:lvlText w:val="%1.1.2.1"/>
      <w:lvlJc w:val="left"/>
      <w:pPr>
        <w:ind w:left="720" w:hanging="360"/>
      </w:pPr>
      <w:rPr>
        <w:rFonts w:hint="default"/>
      </w:rPr>
    </w:lvl>
    <w:lvl w:ilvl="1" w:tplc="2AAEA41C">
      <w:start w:val="1"/>
      <w:numFmt w:val="decimal"/>
      <w:lvlText w:val="%2.1"/>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3844520"/>
    <w:multiLevelType w:val="hybridMultilevel"/>
    <w:tmpl w:val="4130276A"/>
    <w:lvl w:ilvl="0" w:tplc="6D9A3108">
      <w:start w:val="2"/>
      <w:numFmt w:val="upp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4A76031"/>
    <w:multiLevelType w:val="hybridMultilevel"/>
    <w:tmpl w:val="0EBC8BCE"/>
    <w:lvl w:ilvl="0" w:tplc="6BE49128">
      <w:start w:val="9"/>
      <w:numFmt w:val="upp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6956146"/>
    <w:multiLevelType w:val="hybridMultilevel"/>
    <w:tmpl w:val="B7ACBC1A"/>
    <w:lvl w:ilvl="0" w:tplc="C744032A">
      <w:start w:val="4"/>
      <w:numFmt w:val="decimal"/>
      <w:lvlText w:val="%1.2"/>
      <w:lvlJc w:val="left"/>
      <w:pPr>
        <w:ind w:left="720" w:hanging="360"/>
      </w:pPr>
      <w:rPr>
        <w:rFonts w:hint="default"/>
      </w:rPr>
    </w:lvl>
    <w:lvl w:ilvl="1" w:tplc="2AAEA41C">
      <w:start w:val="1"/>
      <w:numFmt w:val="decimal"/>
      <w:lvlText w:val="%2.1"/>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71B7262"/>
    <w:multiLevelType w:val="hybridMultilevel"/>
    <w:tmpl w:val="9488B174"/>
    <w:lvl w:ilvl="0" w:tplc="51988812">
      <w:start w:val="2"/>
      <w:numFmt w:val="decimal"/>
      <w:lvlText w:val="%1.2.2"/>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7CB4CC8"/>
    <w:multiLevelType w:val="hybridMultilevel"/>
    <w:tmpl w:val="D0144428"/>
    <w:lvl w:ilvl="0" w:tplc="272665E4">
      <w:start w:val="10"/>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9420E02"/>
    <w:multiLevelType w:val="hybridMultilevel"/>
    <w:tmpl w:val="A4F49266"/>
    <w:lvl w:ilvl="0" w:tplc="1ADCA9B8">
      <w:start w:val="4"/>
      <w:numFmt w:val="decimal"/>
      <w:lvlText w:val="%1.1.3"/>
      <w:lvlJc w:val="left"/>
      <w:pPr>
        <w:ind w:left="720" w:hanging="360"/>
      </w:pPr>
      <w:rPr>
        <w:rFonts w:hint="default"/>
      </w:rPr>
    </w:lvl>
    <w:lvl w:ilvl="1" w:tplc="2AAEA41C">
      <w:start w:val="1"/>
      <w:numFmt w:val="decimal"/>
      <w:lvlText w:val="%2.1"/>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96666B5"/>
    <w:multiLevelType w:val="hybridMultilevel"/>
    <w:tmpl w:val="F028ED22"/>
    <w:lvl w:ilvl="0" w:tplc="DF6CF094">
      <w:start w:val="3"/>
      <w:numFmt w:val="decimal"/>
      <w:lvlText w:val="%1.2.2.2"/>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ACE53B8"/>
    <w:multiLevelType w:val="hybridMultilevel"/>
    <w:tmpl w:val="0CC66B30"/>
    <w:lvl w:ilvl="0" w:tplc="67C2EE8E">
      <w:start w:val="8"/>
      <w:numFmt w:val="upp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B407F63"/>
    <w:multiLevelType w:val="hybridMultilevel"/>
    <w:tmpl w:val="3B06E9A6"/>
    <w:lvl w:ilvl="0" w:tplc="E2767580">
      <w:start w:val="1"/>
      <w:numFmt w:val="upperLetter"/>
      <w:lvlText w:val="%1.6"/>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2883D2C"/>
    <w:multiLevelType w:val="hybridMultilevel"/>
    <w:tmpl w:val="F028ED22"/>
    <w:lvl w:ilvl="0" w:tplc="DF6CF094">
      <w:start w:val="3"/>
      <w:numFmt w:val="decimal"/>
      <w:lvlText w:val="%1.2.2.2"/>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2B0532A"/>
    <w:multiLevelType w:val="hybridMultilevel"/>
    <w:tmpl w:val="70423672"/>
    <w:lvl w:ilvl="0" w:tplc="4992E846">
      <w:start w:val="4"/>
      <w:numFmt w:val="decimal"/>
      <w:lvlText w:val="%1.1.2"/>
      <w:lvlJc w:val="left"/>
      <w:pPr>
        <w:ind w:left="720" w:hanging="360"/>
      </w:pPr>
      <w:rPr>
        <w:rFonts w:hint="default"/>
      </w:rPr>
    </w:lvl>
    <w:lvl w:ilvl="1" w:tplc="2AAEA41C">
      <w:start w:val="1"/>
      <w:numFmt w:val="decimal"/>
      <w:lvlText w:val="%2.1"/>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5E250BF"/>
    <w:multiLevelType w:val="hybridMultilevel"/>
    <w:tmpl w:val="A276F630"/>
    <w:lvl w:ilvl="0" w:tplc="D488206E">
      <w:start w:val="3"/>
      <w:numFmt w:val="decimal"/>
      <w:lvlText w:val="%1.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61A34CE"/>
    <w:multiLevelType w:val="multilevel"/>
    <w:tmpl w:val="DF16E58E"/>
    <w:lvl w:ilvl="0">
      <w:start w:val="1"/>
      <w:numFmt w:val="decimal"/>
      <w:lvlText w:val="%1."/>
      <w:lvlJc w:val="left"/>
      <w:pPr>
        <w:ind w:left="360" w:hanging="360"/>
      </w:pPr>
      <w:rPr>
        <w:rFonts w:ascii="Times New Roman" w:hAnsi="Times New Roman" w:cs="Times New Roman" w:hint="default"/>
        <w:sz w:val="18"/>
        <w:szCs w:val="18"/>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nsid w:val="366A39F0"/>
    <w:multiLevelType w:val="hybridMultilevel"/>
    <w:tmpl w:val="1DC6A858"/>
    <w:lvl w:ilvl="0" w:tplc="E4FAF052">
      <w:start w:val="3"/>
      <w:numFmt w:val="decimal"/>
      <w:lvlText w:val="%1.2.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36A0608E"/>
    <w:multiLevelType w:val="hybridMultilevel"/>
    <w:tmpl w:val="C7EE7BD0"/>
    <w:lvl w:ilvl="0" w:tplc="1C484CF6">
      <w:start w:val="3"/>
      <w:numFmt w:val="decimal"/>
      <w:lvlText w:val="%1.2.2"/>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38AE2989"/>
    <w:multiLevelType w:val="hybridMultilevel"/>
    <w:tmpl w:val="8CF65BA4"/>
    <w:lvl w:ilvl="0" w:tplc="02FE1D76">
      <w:start w:val="4"/>
      <w:numFmt w:val="decimal"/>
      <w:lvlText w:val="%1.2.2"/>
      <w:lvlJc w:val="left"/>
      <w:pPr>
        <w:ind w:left="720" w:hanging="360"/>
      </w:pPr>
      <w:rPr>
        <w:rFonts w:hint="default"/>
      </w:rPr>
    </w:lvl>
    <w:lvl w:ilvl="1" w:tplc="2AAEA41C">
      <w:start w:val="1"/>
      <w:numFmt w:val="decimal"/>
      <w:lvlText w:val="%2.1"/>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3A9054FA"/>
    <w:multiLevelType w:val="hybridMultilevel"/>
    <w:tmpl w:val="E556D792"/>
    <w:lvl w:ilvl="0" w:tplc="8C7CD81A">
      <w:start w:val="4"/>
      <w:numFmt w:val="decimal"/>
      <w:lvlText w:val="%1.2.1"/>
      <w:lvlJc w:val="left"/>
      <w:pPr>
        <w:ind w:left="720" w:hanging="360"/>
      </w:pPr>
      <w:rPr>
        <w:rFonts w:hint="default"/>
        <w:b/>
      </w:rPr>
    </w:lvl>
    <w:lvl w:ilvl="1" w:tplc="2AAEA41C">
      <w:start w:val="1"/>
      <w:numFmt w:val="decimal"/>
      <w:lvlText w:val="%2.1"/>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3B9A39BC"/>
    <w:multiLevelType w:val="hybridMultilevel"/>
    <w:tmpl w:val="008A2AA4"/>
    <w:lvl w:ilvl="0" w:tplc="C14646E4">
      <w:start w:val="4"/>
      <w:numFmt w:val="decimal"/>
      <w:lvlText w:val="%1.2.2.4"/>
      <w:lvlJc w:val="left"/>
      <w:pPr>
        <w:ind w:left="720" w:hanging="360"/>
      </w:pPr>
      <w:rPr>
        <w:rFonts w:hint="default"/>
      </w:rPr>
    </w:lvl>
    <w:lvl w:ilvl="1" w:tplc="2AAEA41C">
      <w:start w:val="1"/>
      <w:numFmt w:val="decimal"/>
      <w:lvlText w:val="%2.1"/>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417C62A7"/>
    <w:multiLevelType w:val="hybridMultilevel"/>
    <w:tmpl w:val="B5E0E04E"/>
    <w:lvl w:ilvl="0" w:tplc="CD1C4AFA">
      <w:start w:val="4"/>
      <w:numFmt w:val="decimal"/>
      <w:lvlText w:val="%1.2.2.2"/>
      <w:lvlJc w:val="left"/>
      <w:pPr>
        <w:ind w:left="720" w:hanging="360"/>
      </w:pPr>
      <w:rPr>
        <w:rFonts w:hint="default"/>
      </w:rPr>
    </w:lvl>
    <w:lvl w:ilvl="1" w:tplc="2AAEA41C">
      <w:start w:val="1"/>
      <w:numFmt w:val="decimal"/>
      <w:lvlText w:val="%2.1"/>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42063427"/>
    <w:multiLevelType w:val="hybridMultilevel"/>
    <w:tmpl w:val="1EFE5D7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43874664"/>
    <w:multiLevelType w:val="hybridMultilevel"/>
    <w:tmpl w:val="AE101652"/>
    <w:lvl w:ilvl="0" w:tplc="B8D65928">
      <w:start w:val="1"/>
      <w:numFmt w:val="decimal"/>
      <w:lvlText w:val="%1.5"/>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464B5C62"/>
    <w:multiLevelType w:val="hybridMultilevel"/>
    <w:tmpl w:val="06A2BF60"/>
    <w:lvl w:ilvl="0" w:tplc="A25C275A">
      <w:start w:val="4"/>
      <w:numFmt w:val="decimal"/>
      <w:lvlText w:val="%1.2.2.1"/>
      <w:lvlJc w:val="left"/>
      <w:pPr>
        <w:ind w:left="720" w:hanging="360"/>
      </w:pPr>
      <w:rPr>
        <w:rFonts w:hint="default"/>
      </w:rPr>
    </w:lvl>
    <w:lvl w:ilvl="1" w:tplc="2AAEA41C">
      <w:start w:val="1"/>
      <w:numFmt w:val="decimal"/>
      <w:lvlText w:val="%2.1"/>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488C5527"/>
    <w:multiLevelType w:val="hybridMultilevel"/>
    <w:tmpl w:val="EC389D70"/>
    <w:lvl w:ilvl="0" w:tplc="91088B7E">
      <w:start w:val="4"/>
      <w:numFmt w:val="decimal"/>
      <w:lvlText w:val="%1.1.2.2"/>
      <w:lvlJc w:val="left"/>
      <w:pPr>
        <w:ind w:left="720" w:hanging="360"/>
      </w:pPr>
      <w:rPr>
        <w:rFonts w:hint="default"/>
      </w:rPr>
    </w:lvl>
    <w:lvl w:ilvl="1" w:tplc="2AAEA41C">
      <w:start w:val="1"/>
      <w:numFmt w:val="decimal"/>
      <w:lvlText w:val="%2.1"/>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49EE6502"/>
    <w:multiLevelType w:val="hybridMultilevel"/>
    <w:tmpl w:val="005299B2"/>
    <w:lvl w:ilvl="0" w:tplc="8F482086">
      <w:start w:val="2"/>
      <w:numFmt w:val="decimal"/>
      <w:lvlText w:val="%1.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57BF7EC3"/>
    <w:multiLevelType w:val="hybridMultilevel"/>
    <w:tmpl w:val="8786982A"/>
    <w:lvl w:ilvl="0" w:tplc="710EB508">
      <w:start w:val="3"/>
      <w:numFmt w:val="decimal"/>
      <w:lvlText w:val="%1.2"/>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58CE1203"/>
    <w:multiLevelType w:val="hybridMultilevel"/>
    <w:tmpl w:val="C9AA00E8"/>
    <w:lvl w:ilvl="0" w:tplc="C98A32F8">
      <w:start w:val="4"/>
      <w:numFmt w:val="decimal"/>
      <w:lvlText w:val="%1.1.3.1"/>
      <w:lvlJc w:val="left"/>
      <w:pPr>
        <w:ind w:left="720" w:hanging="360"/>
      </w:pPr>
      <w:rPr>
        <w:rFonts w:hint="default"/>
      </w:rPr>
    </w:lvl>
    <w:lvl w:ilvl="1" w:tplc="2AAEA41C">
      <w:start w:val="1"/>
      <w:numFmt w:val="decimal"/>
      <w:lvlText w:val="%2.1"/>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5A7878E0"/>
    <w:multiLevelType w:val="hybridMultilevel"/>
    <w:tmpl w:val="17B02B9E"/>
    <w:lvl w:ilvl="0" w:tplc="0BBC6FEC">
      <w:start w:val="4"/>
      <w:numFmt w:val="decimal"/>
      <w:lvlText w:val="%1.1.1.1"/>
      <w:lvlJc w:val="left"/>
      <w:pPr>
        <w:ind w:left="720" w:hanging="360"/>
      </w:pPr>
      <w:rPr>
        <w:rFonts w:hint="default"/>
      </w:rPr>
    </w:lvl>
    <w:lvl w:ilvl="1" w:tplc="2AAEA41C">
      <w:start w:val="1"/>
      <w:numFmt w:val="decimal"/>
      <w:lvlText w:val="%2.1"/>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5EA24928"/>
    <w:multiLevelType w:val="hybridMultilevel"/>
    <w:tmpl w:val="2C4CA3F4"/>
    <w:lvl w:ilvl="0" w:tplc="A24EF874">
      <w:start w:val="1"/>
      <w:numFmt w:val="decimal"/>
      <w:lvlText w:val="%1.2"/>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602F43BC"/>
    <w:multiLevelType w:val="hybridMultilevel"/>
    <w:tmpl w:val="0F24132C"/>
    <w:lvl w:ilvl="0" w:tplc="1FB25FA8">
      <w:start w:val="3"/>
      <w:numFmt w:val="decimal"/>
      <w:lvlText w:val="%1.2.1.3"/>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605030CF"/>
    <w:multiLevelType w:val="hybridMultilevel"/>
    <w:tmpl w:val="2030292A"/>
    <w:lvl w:ilvl="0" w:tplc="8ADEEEA0">
      <w:start w:val="2"/>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60CA7A4C"/>
    <w:multiLevelType w:val="hybridMultilevel"/>
    <w:tmpl w:val="E2764A58"/>
    <w:lvl w:ilvl="0" w:tplc="D80E1130">
      <w:start w:val="4"/>
      <w:numFmt w:val="decimal"/>
      <w:lvlText w:val="%1.1.3.2"/>
      <w:lvlJc w:val="left"/>
      <w:pPr>
        <w:ind w:left="720" w:hanging="360"/>
      </w:pPr>
      <w:rPr>
        <w:rFonts w:hint="default"/>
      </w:rPr>
    </w:lvl>
    <w:lvl w:ilvl="1" w:tplc="2AAEA41C">
      <w:start w:val="1"/>
      <w:numFmt w:val="decimal"/>
      <w:lvlText w:val="%2.1"/>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60D93D06"/>
    <w:multiLevelType w:val="hybridMultilevel"/>
    <w:tmpl w:val="E4983A96"/>
    <w:lvl w:ilvl="0" w:tplc="214CA9D6">
      <w:start w:val="2"/>
      <w:numFmt w:val="decimal"/>
      <w:lvlText w:val="%1.2"/>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623422A8"/>
    <w:multiLevelType w:val="hybridMultilevel"/>
    <w:tmpl w:val="5FB2C1AC"/>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nsid w:val="650E1B1F"/>
    <w:multiLevelType w:val="hybridMultilevel"/>
    <w:tmpl w:val="DCCE4982"/>
    <w:lvl w:ilvl="0" w:tplc="0A1E686E">
      <w:start w:val="3"/>
      <w:numFmt w:val="decimal"/>
      <w:lvlText w:val="%1.2.1.2"/>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6527566F"/>
    <w:multiLevelType w:val="hybridMultilevel"/>
    <w:tmpl w:val="079E8FB8"/>
    <w:lvl w:ilvl="0" w:tplc="3F4CBAF0">
      <w:start w:val="2"/>
      <w:numFmt w:val="decimal"/>
      <w:lvlText w:val="%1.2.3"/>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654C63A1"/>
    <w:multiLevelType w:val="hybridMultilevel"/>
    <w:tmpl w:val="CF600B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67D5332D"/>
    <w:multiLevelType w:val="hybridMultilevel"/>
    <w:tmpl w:val="5A5E4B6C"/>
    <w:lvl w:ilvl="0" w:tplc="2BBC2E22">
      <w:start w:val="4"/>
      <w:numFmt w:val="decimal"/>
      <w:lvlText w:val="%1.1"/>
      <w:lvlJc w:val="left"/>
      <w:pPr>
        <w:ind w:left="720" w:hanging="360"/>
      </w:pPr>
      <w:rPr>
        <w:rFonts w:hint="default"/>
      </w:rPr>
    </w:lvl>
    <w:lvl w:ilvl="1" w:tplc="2AAEA41C">
      <w:start w:val="1"/>
      <w:numFmt w:val="decimal"/>
      <w:lvlText w:val="%2.1"/>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6BCA748B"/>
    <w:multiLevelType w:val="hybridMultilevel"/>
    <w:tmpl w:val="7BA012B2"/>
    <w:lvl w:ilvl="0" w:tplc="34A2BA08">
      <w:start w:val="8"/>
      <w:numFmt w:val="upperLetter"/>
      <w:lvlText w:val="%1.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717F60A4"/>
    <w:multiLevelType w:val="hybridMultilevel"/>
    <w:tmpl w:val="190EB48C"/>
    <w:lvl w:ilvl="0" w:tplc="A68A9E02">
      <w:start w:val="1"/>
      <w:numFmt w:val="upperLetter"/>
      <w:lvlText w:val="%1.5"/>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73FC68FA"/>
    <w:multiLevelType w:val="hybridMultilevel"/>
    <w:tmpl w:val="BB1489E0"/>
    <w:lvl w:ilvl="0" w:tplc="75AA7122">
      <w:start w:val="4"/>
      <w:numFmt w:val="decimal"/>
      <w:lvlText w:val="%1.1.1.2"/>
      <w:lvlJc w:val="left"/>
      <w:pPr>
        <w:ind w:left="720" w:hanging="360"/>
      </w:pPr>
      <w:rPr>
        <w:rFonts w:hint="default"/>
      </w:rPr>
    </w:lvl>
    <w:lvl w:ilvl="1" w:tplc="2AAEA41C">
      <w:start w:val="1"/>
      <w:numFmt w:val="decimal"/>
      <w:lvlText w:val="%2.1"/>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76F43F97"/>
    <w:multiLevelType w:val="hybridMultilevel"/>
    <w:tmpl w:val="6F7C4EA4"/>
    <w:lvl w:ilvl="0" w:tplc="04090011">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nsid w:val="76FE3E9A"/>
    <w:multiLevelType w:val="hybridMultilevel"/>
    <w:tmpl w:val="E89689E6"/>
    <w:lvl w:ilvl="0" w:tplc="D1320FFE">
      <w:start w:val="1"/>
      <w:numFmt w:val="decimal"/>
      <w:lvlText w:val="%1.3"/>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7791371F"/>
    <w:multiLevelType w:val="hybridMultilevel"/>
    <w:tmpl w:val="6E82FDD0"/>
    <w:lvl w:ilvl="0" w:tplc="98DCA38A">
      <w:start w:val="4"/>
      <w:numFmt w:val="decimal"/>
      <w:lvlText w:val="%1.3"/>
      <w:lvlJc w:val="left"/>
      <w:pPr>
        <w:ind w:left="720" w:hanging="360"/>
      </w:pPr>
      <w:rPr>
        <w:rFonts w:hint="default"/>
      </w:rPr>
    </w:lvl>
    <w:lvl w:ilvl="1" w:tplc="2AAEA41C">
      <w:start w:val="1"/>
      <w:numFmt w:val="decimal"/>
      <w:lvlText w:val="%2.1"/>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7A061B07"/>
    <w:multiLevelType w:val="hybridMultilevel"/>
    <w:tmpl w:val="1242B006"/>
    <w:lvl w:ilvl="0" w:tplc="0E261F38">
      <w:start w:val="1"/>
      <w:numFmt w:val="upperLetter"/>
      <w:lvlText w:val="%1.8"/>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7A5F7131"/>
    <w:multiLevelType w:val="hybridMultilevel"/>
    <w:tmpl w:val="8220A386"/>
    <w:lvl w:ilvl="0" w:tplc="6AD6FB86">
      <w:start w:val="13"/>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7DC1319C"/>
    <w:multiLevelType w:val="hybridMultilevel"/>
    <w:tmpl w:val="06A41748"/>
    <w:lvl w:ilvl="0" w:tplc="801C2268">
      <w:start w:val="1"/>
      <w:numFmt w:val="decimal"/>
      <w:lvlText w:val="%1."/>
      <w:lvlJc w:val="left"/>
      <w:pPr>
        <w:tabs>
          <w:tab w:val="num" w:pos="1080"/>
        </w:tabs>
        <w:ind w:left="1080" w:hanging="360"/>
      </w:pPr>
      <w:rPr>
        <w:sz w:val="16"/>
        <w:szCs w:val="16"/>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3"/>
  </w:num>
  <w:num w:numId="2">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 w:numId="4">
    <w:abstractNumId w:val="25"/>
  </w:num>
  <w:num w:numId="5">
    <w:abstractNumId w:val="8"/>
  </w:num>
  <w:num w:numId="6">
    <w:abstractNumId w:val="40"/>
  </w:num>
  <w:num w:numId="7">
    <w:abstractNumId w:val="54"/>
  </w:num>
  <w:num w:numId="8">
    <w:abstractNumId w:val="2"/>
  </w:num>
  <w:num w:numId="9">
    <w:abstractNumId w:val="33"/>
  </w:num>
  <w:num w:numId="10">
    <w:abstractNumId w:val="42"/>
  </w:num>
  <w:num w:numId="11">
    <w:abstractNumId w:val="1"/>
  </w:num>
  <w:num w:numId="12">
    <w:abstractNumId w:val="36"/>
  </w:num>
  <w:num w:numId="13">
    <w:abstractNumId w:val="16"/>
  </w:num>
  <w:num w:numId="14">
    <w:abstractNumId w:val="6"/>
  </w:num>
  <w:num w:numId="15">
    <w:abstractNumId w:val="37"/>
  </w:num>
  <w:num w:numId="16">
    <w:abstractNumId w:val="24"/>
  </w:num>
  <w:num w:numId="17">
    <w:abstractNumId w:val="26"/>
  </w:num>
  <w:num w:numId="18">
    <w:abstractNumId w:val="46"/>
  </w:num>
  <w:num w:numId="19">
    <w:abstractNumId w:val="41"/>
  </w:num>
  <w:num w:numId="20">
    <w:abstractNumId w:val="27"/>
  </w:num>
  <w:num w:numId="21">
    <w:abstractNumId w:val="7"/>
  </w:num>
  <w:num w:numId="22">
    <w:abstractNumId w:val="19"/>
  </w:num>
  <w:num w:numId="23">
    <w:abstractNumId w:val="22"/>
  </w:num>
  <w:num w:numId="24">
    <w:abstractNumId w:val="49"/>
  </w:num>
  <w:num w:numId="25">
    <w:abstractNumId w:val="4"/>
  </w:num>
  <w:num w:numId="26">
    <w:abstractNumId w:val="39"/>
  </w:num>
  <w:num w:numId="27">
    <w:abstractNumId w:val="52"/>
  </w:num>
  <w:num w:numId="28">
    <w:abstractNumId w:val="23"/>
  </w:num>
  <w:num w:numId="29">
    <w:abstractNumId w:val="12"/>
  </w:num>
  <w:num w:numId="30">
    <w:abstractNumId w:val="35"/>
  </w:num>
  <w:num w:numId="31">
    <w:abstractNumId w:val="18"/>
  </w:num>
  <w:num w:numId="32">
    <w:abstractNumId w:val="38"/>
  </w:num>
  <w:num w:numId="33">
    <w:abstractNumId w:val="43"/>
  </w:num>
  <w:num w:numId="34">
    <w:abstractNumId w:val="15"/>
  </w:num>
  <w:num w:numId="35">
    <w:abstractNumId w:val="29"/>
  </w:num>
  <w:num w:numId="36">
    <w:abstractNumId w:val="28"/>
  </w:num>
  <w:num w:numId="37">
    <w:abstractNumId w:val="34"/>
  </w:num>
  <w:num w:numId="38">
    <w:abstractNumId w:val="13"/>
  </w:num>
  <w:num w:numId="39">
    <w:abstractNumId w:val="5"/>
  </w:num>
  <w:num w:numId="40">
    <w:abstractNumId w:val="17"/>
  </w:num>
  <w:num w:numId="41">
    <w:abstractNumId w:val="31"/>
  </w:num>
  <w:num w:numId="42">
    <w:abstractNumId w:val="14"/>
  </w:num>
  <w:num w:numId="43">
    <w:abstractNumId w:val="20"/>
  </w:num>
  <w:num w:numId="44">
    <w:abstractNumId w:val="10"/>
  </w:num>
  <w:num w:numId="45">
    <w:abstractNumId w:val="50"/>
  </w:num>
  <w:num w:numId="46">
    <w:abstractNumId w:val="30"/>
  </w:num>
  <w:num w:numId="47">
    <w:abstractNumId w:val="51"/>
  </w:num>
  <w:num w:numId="48">
    <w:abstractNumId w:val="21"/>
  </w:num>
  <w:num w:numId="49">
    <w:abstractNumId w:val="56"/>
  </w:num>
  <w:num w:numId="50">
    <w:abstractNumId w:val="9"/>
  </w:num>
  <w:num w:numId="51">
    <w:abstractNumId w:val="44"/>
  </w:num>
  <w:num w:numId="52">
    <w:abstractNumId w:val="57"/>
  </w:num>
  <w:num w:numId="53">
    <w:abstractNumId w:val="47"/>
  </w:num>
  <w:num w:numId="54">
    <w:abstractNumId w:val="11"/>
  </w:num>
  <w:num w:numId="55">
    <w:abstractNumId w:val="55"/>
  </w:num>
  <w:num w:numId="56">
    <w:abstractNumId w:val="45"/>
  </w:num>
  <w:num w:numId="57">
    <w:abstractNumId w:val="32"/>
  </w:num>
  <w:num w:numId="58">
    <w:abstractNumId w:val="53"/>
  </w:num>
  <w:num w:numId="59">
    <w:abstractNumId w:val="48"/>
  </w:num>
  <w:numIdMacAtCleanup w:val="5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embedSystemFonts/>
  <w:proofState w:spelling="clean" w:grammar="clean"/>
  <w:stylePaneFormatFilter w:val="3F01"/>
  <w:defaultTabStop w:val="360"/>
  <w:drawingGridHorizontalSpacing w:val="100"/>
  <w:displayHorizontalDrawingGridEvery w:val="0"/>
  <w:displayVerticalDrawingGridEvery w:val="0"/>
  <w:noPunctuationKerning/>
  <w:characterSpacingControl w:val="doNotCompress"/>
  <w:hdrShapeDefaults>
    <o:shapedefaults v:ext="edit" spidmax="70657"/>
  </w:hdrShapeDefaults>
  <w:footnotePr>
    <w:footnote w:id="-1"/>
    <w:footnote w:id="0"/>
  </w:footnotePr>
  <w:endnotePr>
    <w:endnote w:id="-1"/>
    <w:endnote w:id="0"/>
  </w:endnotePr>
  <w:compat/>
  <w:rsids>
    <w:rsidRoot w:val="00193F10"/>
    <w:rsid w:val="000056C9"/>
    <w:rsid w:val="00011E91"/>
    <w:rsid w:val="00012F10"/>
    <w:rsid w:val="0002058C"/>
    <w:rsid w:val="000206C6"/>
    <w:rsid w:val="00026EFF"/>
    <w:rsid w:val="000302F1"/>
    <w:rsid w:val="00031735"/>
    <w:rsid w:val="00031A28"/>
    <w:rsid w:val="00034819"/>
    <w:rsid w:val="000360EB"/>
    <w:rsid w:val="00043A0E"/>
    <w:rsid w:val="00050A79"/>
    <w:rsid w:val="00050C2F"/>
    <w:rsid w:val="0005393F"/>
    <w:rsid w:val="00061CB8"/>
    <w:rsid w:val="000620AB"/>
    <w:rsid w:val="000660AB"/>
    <w:rsid w:val="00082F3C"/>
    <w:rsid w:val="000877E0"/>
    <w:rsid w:val="00094F96"/>
    <w:rsid w:val="000B01DD"/>
    <w:rsid w:val="000B3948"/>
    <w:rsid w:val="000B4B28"/>
    <w:rsid w:val="000B4E48"/>
    <w:rsid w:val="000B6368"/>
    <w:rsid w:val="000C0E12"/>
    <w:rsid w:val="000C2AA3"/>
    <w:rsid w:val="000C3548"/>
    <w:rsid w:val="000C5143"/>
    <w:rsid w:val="000D2D73"/>
    <w:rsid w:val="000D55CC"/>
    <w:rsid w:val="000D5D99"/>
    <w:rsid w:val="000E2A20"/>
    <w:rsid w:val="000E42D3"/>
    <w:rsid w:val="000F14B7"/>
    <w:rsid w:val="000F7584"/>
    <w:rsid w:val="000F7ADB"/>
    <w:rsid w:val="00104F2C"/>
    <w:rsid w:val="001071F3"/>
    <w:rsid w:val="00111453"/>
    <w:rsid w:val="001242F3"/>
    <w:rsid w:val="001267D9"/>
    <w:rsid w:val="001270B3"/>
    <w:rsid w:val="001331B0"/>
    <w:rsid w:val="0013420E"/>
    <w:rsid w:val="00134A7E"/>
    <w:rsid w:val="00135AF0"/>
    <w:rsid w:val="0013662D"/>
    <w:rsid w:val="00140CD4"/>
    <w:rsid w:val="001414BA"/>
    <w:rsid w:val="001465AD"/>
    <w:rsid w:val="00146AFD"/>
    <w:rsid w:val="00163F4C"/>
    <w:rsid w:val="00164E28"/>
    <w:rsid w:val="0016543F"/>
    <w:rsid w:val="00165941"/>
    <w:rsid w:val="001659BE"/>
    <w:rsid w:val="00174B60"/>
    <w:rsid w:val="001763BF"/>
    <w:rsid w:val="001771DC"/>
    <w:rsid w:val="00180995"/>
    <w:rsid w:val="00183942"/>
    <w:rsid w:val="00193F10"/>
    <w:rsid w:val="00194AA6"/>
    <w:rsid w:val="001A2AEC"/>
    <w:rsid w:val="001A4EA5"/>
    <w:rsid w:val="001A61E9"/>
    <w:rsid w:val="001B3054"/>
    <w:rsid w:val="001B4486"/>
    <w:rsid w:val="001B7D54"/>
    <w:rsid w:val="001C2589"/>
    <w:rsid w:val="001C466A"/>
    <w:rsid w:val="001C4E37"/>
    <w:rsid w:val="001C7560"/>
    <w:rsid w:val="001D022D"/>
    <w:rsid w:val="001D1649"/>
    <w:rsid w:val="001D487F"/>
    <w:rsid w:val="001E2CD6"/>
    <w:rsid w:val="001E3729"/>
    <w:rsid w:val="001F0376"/>
    <w:rsid w:val="001F10B9"/>
    <w:rsid w:val="001F61FB"/>
    <w:rsid w:val="001F6B0E"/>
    <w:rsid w:val="0020060C"/>
    <w:rsid w:val="00201860"/>
    <w:rsid w:val="002035CA"/>
    <w:rsid w:val="00205B18"/>
    <w:rsid w:val="00205E8A"/>
    <w:rsid w:val="002225DD"/>
    <w:rsid w:val="002332F0"/>
    <w:rsid w:val="0024275B"/>
    <w:rsid w:val="002429CB"/>
    <w:rsid w:val="00245D79"/>
    <w:rsid w:val="00251262"/>
    <w:rsid w:val="00256F53"/>
    <w:rsid w:val="002575B2"/>
    <w:rsid w:val="002579E3"/>
    <w:rsid w:val="00266223"/>
    <w:rsid w:val="00272AD4"/>
    <w:rsid w:val="002772B7"/>
    <w:rsid w:val="00277AE1"/>
    <w:rsid w:val="00281B10"/>
    <w:rsid w:val="0028457F"/>
    <w:rsid w:val="002863DC"/>
    <w:rsid w:val="00286B9B"/>
    <w:rsid w:val="002A28C2"/>
    <w:rsid w:val="002A4EFC"/>
    <w:rsid w:val="002B0EE8"/>
    <w:rsid w:val="002B2A75"/>
    <w:rsid w:val="002B4D67"/>
    <w:rsid w:val="002B5290"/>
    <w:rsid w:val="002C095D"/>
    <w:rsid w:val="002C66F8"/>
    <w:rsid w:val="002C6D18"/>
    <w:rsid w:val="002D6991"/>
    <w:rsid w:val="002D6DD4"/>
    <w:rsid w:val="002F0830"/>
    <w:rsid w:val="002F0E6E"/>
    <w:rsid w:val="002F2877"/>
    <w:rsid w:val="002F3B5B"/>
    <w:rsid w:val="002F5FD4"/>
    <w:rsid w:val="002F7D7E"/>
    <w:rsid w:val="0030193B"/>
    <w:rsid w:val="00302012"/>
    <w:rsid w:val="00302267"/>
    <w:rsid w:val="00305E29"/>
    <w:rsid w:val="003110BE"/>
    <w:rsid w:val="0031670D"/>
    <w:rsid w:val="00316918"/>
    <w:rsid w:val="003169D9"/>
    <w:rsid w:val="003175EF"/>
    <w:rsid w:val="0033363A"/>
    <w:rsid w:val="00334B91"/>
    <w:rsid w:val="00336F24"/>
    <w:rsid w:val="003417B3"/>
    <w:rsid w:val="00341FD5"/>
    <w:rsid w:val="00346552"/>
    <w:rsid w:val="00355781"/>
    <w:rsid w:val="00356B70"/>
    <w:rsid w:val="00362B27"/>
    <w:rsid w:val="00364C79"/>
    <w:rsid w:val="00367725"/>
    <w:rsid w:val="00371E4B"/>
    <w:rsid w:val="00372179"/>
    <w:rsid w:val="00380E63"/>
    <w:rsid w:val="003811AC"/>
    <w:rsid w:val="00381E4A"/>
    <w:rsid w:val="003858DE"/>
    <w:rsid w:val="00385AE0"/>
    <w:rsid w:val="0039482F"/>
    <w:rsid w:val="00396DE6"/>
    <w:rsid w:val="003A24E9"/>
    <w:rsid w:val="003A3C29"/>
    <w:rsid w:val="003A492C"/>
    <w:rsid w:val="003B0403"/>
    <w:rsid w:val="003B09D8"/>
    <w:rsid w:val="003B1E0A"/>
    <w:rsid w:val="003B480D"/>
    <w:rsid w:val="003B6828"/>
    <w:rsid w:val="003C0403"/>
    <w:rsid w:val="003D01A0"/>
    <w:rsid w:val="003D34A7"/>
    <w:rsid w:val="003E0A7D"/>
    <w:rsid w:val="003E2FCA"/>
    <w:rsid w:val="003E683A"/>
    <w:rsid w:val="003E6BCF"/>
    <w:rsid w:val="003F1AFB"/>
    <w:rsid w:val="003F62F4"/>
    <w:rsid w:val="003F7B00"/>
    <w:rsid w:val="004011C1"/>
    <w:rsid w:val="0040246E"/>
    <w:rsid w:val="0040283C"/>
    <w:rsid w:val="00403CAD"/>
    <w:rsid w:val="00407134"/>
    <w:rsid w:val="00412A30"/>
    <w:rsid w:val="0042061A"/>
    <w:rsid w:val="0043123B"/>
    <w:rsid w:val="00432CB4"/>
    <w:rsid w:val="00432E85"/>
    <w:rsid w:val="0043407C"/>
    <w:rsid w:val="004379B1"/>
    <w:rsid w:val="004414F2"/>
    <w:rsid w:val="00442BCF"/>
    <w:rsid w:val="00446FE7"/>
    <w:rsid w:val="00453087"/>
    <w:rsid w:val="004537E6"/>
    <w:rsid w:val="004554C3"/>
    <w:rsid w:val="004562C7"/>
    <w:rsid w:val="004577CD"/>
    <w:rsid w:val="0046223E"/>
    <w:rsid w:val="00465491"/>
    <w:rsid w:val="00465AFE"/>
    <w:rsid w:val="004708BD"/>
    <w:rsid w:val="00483FF7"/>
    <w:rsid w:val="00484AC3"/>
    <w:rsid w:val="00487771"/>
    <w:rsid w:val="0049046C"/>
    <w:rsid w:val="0049185E"/>
    <w:rsid w:val="00491F04"/>
    <w:rsid w:val="00495992"/>
    <w:rsid w:val="004973A5"/>
    <w:rsid w:val="004B5185"/>
    <w:rsid w:val="004B5624"/>
    <w:rsid w:val="004B6AE4"/>
    <w:rsid w:val="004C0984"/>
    <w:rsid w:val="004D1D9F"/>
    <w:rsid w:val="004D37CA"/>
    <w:rsid w:val="004D4BCC"/>
    <w:rsid w:val="004D5C3F"/>
    <w:rsid w:val="004E0A4A"/>
    <w:rsid w:val="004E10C8"/>
    <w:rsid w:val="004E2C50"/>
    <w:rsid w:val="004E48C8"/>
    <w:rsid w:val="004F3FF3"/>
    <w:rsid w:val="00501D60"/>
    <w:rsid w:val="00502E47"/>
    <w:rsid w:val="00506945"/>
    <w:rsid w:val="0051073B"/>
    <w:rsid w:val="00511785"/>
    <w:rsid w:val="00516AD2"/>
    <w:rsid w:val="00517DEA"/>
    <w:rsid w:val="00521D16"/>
    <w:rsid w:val="00534A88"/>
    <w:rsid w:val="00536EFF"/>
    <w:rsid w:val="00543D6B"/>
    <w:rsid w:val="00544B21"/>
    <w:rsid w:val="005520A0"/>
    <w:rsid w:val="00555EB5"/>
    <w:rsid w:val="00561BFB"/>
    <w:rsid w:val="0056323B"/>
    <w:rsid w:val="00567262"/>
    <w:rsid w:val="00567711"/>
    <w:rsid w:val="0057190E"/>
    <w:rsid w:val="00583DA5"/>
    <w:rsid w:val="00586C1A"/>
    <w:rsid w:val="005A055B"/>
    <w:rsid w:val="005A153D"/>
    <w:rsid w:val="005B1BEF"/>
    <w:rsid w:val="005B1DE8"/>
    <w:rsid w:val="005B236F"/>
    <w:rsid w:val="005C0768"/>
    <w:rsid w:val="005C1D58"/>
    <w:rsid w:val="005C4AE3"/>
    <w:rsid w:val="005C63F9"/>
    <w:rsid w:val="005D078A"/>
    <w:rsid w:val="005D2114"/>
    <w:rsid w:val="005E1B78"/>
    <w:rsid w:val="005E36E4"/>
    <w:rsid w:val="005E6213"/>
    <w:rsid w:val="005E6F2D"/>
    <w:rsid w:val="005E7FD3"/>
    <w:rsid w:val="005F5ECA"/>
    <w:rsid w:val="00601A4C"/>
    <w:rsid w:val="00604F02"/>
    <w:rsid w:val="00604F7F"/>
    <w:rsid w:val="00612F1C"/>
    <w:rsid w:val="00617209"/>
    <w:rsid w:val="00624859"/>
    <w:rsid w:val="00626DF7"/>
    <w:rsid w:val="0063296E"/>
    <w:rsid w:val="00632B5D"/>
    <w:rsid w:val="006349C1"/>
    <w:rsid w:val="0063511C"/>
    <w:rsid w:val="00637821"/>
    <w:rsid w:val="00646ABD"/>
    <w:rsid w:val="00647FDC"/>
    <w:rsid w:val="006519D4"/>
    <w:rsid w:val="0065214A"/>
    <w:rsid w:val="00652AFF"/>
    <w:rsid w:val="006544AA"/>
    <w:rsid w:val="006547D7"/>
    <w:rsid w:val="00660E74"/>
    <w:rsid w:val="00663728"/>
    <w:rsid w:val="00664C7C"/>
    <w:rsid w:val="00674D44"/>
    <w:rsid w:val="0067681B"/>
    <w:rsid w:val="00684184"/>
    <w:rsid w:val="00686486"/>
    <w:rsid w:val="00694A38"/>
    <w:rsid w:val="0069768D"/>
    <w:rsid w:val="006B226C"/>
    <w:rsid w:val="006B6EFE"/>
    <w:rsid w:val="006C043E"/>
    <w:rsid w:val="006C0CFC"/>
    <w:rsid w:val="006C0DFE"/>
    <w:rsid w:val="006C2187"/>
    <w:rsid w:val="006C38FB"/>
    <w:rsid w:val="006C423A"/>
    <w:rsid w:val="006D5B6F"/>
    <w:rsid w:val="006E0D03"/>
    <w:rsid w:val="006E103A"/>
    <w:rsid w:val="006E244E"/>
    <w:rsid w:val="006E63D0"/>
    <w:rsid w:val="006F1BCF"/>
    <w:rsid w:val="00700CC8"/>
    <w:rsid w:val="00701E65"/>
    <w:rsid w:val="00701FEF"/>
    <w:rsid w:val="0070307C"/>
    <w:rsid w:val="007037AF"/>
    <w:rsid w:val="007120FB"/>
    <w:rsid w:val="007125C8"/>
    <w:rsid w:val="00715429"/>
    <w:rsid w:val="0072572D"/>
    <w:rsid w:val="00726EFE"/>
    <w:rsid w:val="00733BBB"/>
    <w:rsid w:val="007367E7"/>
    <w:rsid w:val="00740680"/>
    <w:rsid w:val="007406CB"/>
    <w:rsid w:val="00741F1A"/>
    <w:rsid w:val="00751EDD"/>
    <w:rsid w:val="00753529"/>
    <w:rsid w:val="00762E18"/>
    <w:rsid w:val="007675AB"/>
    <w:rsid w:val="007747AA"/>
    <w:rsid w:val="0077723C"/>
    <w:rsid w:val="007773E0"/>
    <w:rsid w:val="00780AE0"/>
    <w:rsid w:val="00782ABD"/>
    <w:rsid w:val="00783DCA"/>
    <w:rsid w:val="00784501"/>
    <w:rsid w:val="00785582"/>
    <w:rsid w:val="00786837"/>
    <w:rsid w:val="00786868"/>
    <w:rsid w:val="007A4426"/>
    <w:rsid w:val="007B0A71"/>
    <w:rsid w:val="007C055F"/>
    <w:rsid w:val="007C310C"/>
    <w:rsid w:val="007C7B73"/>
    <w:rsid w:val="007D3C07"/>
    <w:rsid w:val="007E37B6"/>
    <w:rsid w:val="007E5CA3"/>
    <w:rsid w:val="007E65BF"/>
    <w:rsid w:val="007E7E04"/>
    <w:rsid w:val="007E7FB1"/>
    <w:rsid w:val="007F1F2A"/>
    <w:rsid w:val="007F7B7E"/>
    <w:rsid w:val="00802882"/>
    <w:rsid w:val="00814544"/>
    <w:rsid w:val="0082183E"/>
    <w:rsid w:val="0082281F"/>
    <w:rsid w:val="00835018"/>
    <w:rsid w:val="00835C99"/>
    <w:rsid w:val="00847873"/>
    <w:rsid w:val="00852555"/>
    <w:rsid w:val="00857B7C"/>
    <w:rsid w:val="008603FF"/>
    <w:rsid w:val="008659E9"/>
    <w:rsid w:val="00865D68"/>
    <w:rsid w:val="008673D3"/>
    <w:rsid w:val="00867B8A"/>
    <w:rsid w:val="00872D68"/>
    <w:rsid w:val="0088069E"/>
    <w:rsid w:val="0088434E"/>
    <w:rsid w:val="008A27B4"/>
    <w:rsid w:val="008A738E"/>
    <w:rsid w:val="008B1DC5"/>
    <w:rsid w:val="008B469F"/>
    <w:rsid w:val="008C1D8E"/>
    <w:rsid w:val="008C365D"/>
    <w:rsid w:val="008D136F"/>
    <w:rsid w:val="008D373E"/>
    <w:rsid w:val="008E4C46"/>
    <w:rsid w:val="008F1052"/>
    <w:rsid w:val="008F5D48"/>
    <w:rsid w:val="008F6D89"/>
    <w:rsid w:val="009022F7"/>
    <w:rsid w:val="009129D2"/>
    <w:rsid w:val="00912D32"/>
    <w:rsid w:val="00912EF3"/>
    <w:rsid w:val="009150F8"/>
    <w:rsid w:val="009157EF"/>
    <w:rsid w:val="0091595E"/>
    <w:rsid w:val="00915EA8"/>
    <w:rsid w:val="00915F63"/>
    <w:rsid w:val="00917408"/>
    <w:rsid w:val="009206EE"/>
    <w:rsid w:val="00922314"/>
    <w:rsid w:val="00923758"/>
    <w:rsid w:val="0092678F"/>
    <w:rsid w:val="00926C54"/>
    <w:rsid w:val="0093238E"/>
    <w:rsid w:val="00934434"/>
    <w:rsid w:val="00934ECE"/>
    <w:rsid w:val="00937264"/>
    <w:rsid w:val="00942018"/>
    <w:rsid w:val="00942654"/>
    <w:rsid w:val="00945580"/>
    <w:rsid w:val="00947532"/>
    <w:rsid w:val="0095336B"/>
    <w:rsid w:val="00955781"/>
    <w:rsid w:val="009570BF"/>
    <w:rsid w:val="009644DE"/>
    <w:rsid w:val="00964F1C"/>
    <w:rsid w:val="009669C3"/>
    <w:rsid w:val="00972447"/>
    <w:rsid w:val="00975EF0"/>
    <w:rsid w:val="00984BB5"/>
    <w:rsid w:val="00986275"/>
    <w:rsid w:val="00986AF7"/>
    <w:rsid w:val="00986E18"/>
    <w:rsid w:val="009920A6"/>
    <w:rsid w:val="009932CF"/>
    <w:rsid w:val="009940A3"/>
    <w:rsid w:val="00994FAF"/>
    <w:rsid w:val="00997B32"/>
    <w:rsid w:val="009A0881"/>
    <w:rsid w:val="009A1E14"/>
    <w:rsid w:val="009A3E6D"/>
    <w:rsid w:val="009A486C"/>
    <w:rsid w:val="009B0AA3"/>
    <w:rsid w:val="009B32D2"/>
    <w:rsid w:val="009B6CC8"/>
    <w:rsid w:val="009D0EDE"/>
    <w:rsid w:val="009E2740"/>
    <w:rsid w:val="009E458E"/>
    <w:rsid w:val="009E641F"/>
    <w:rsid w:val="009F1CF4"/>
    <w:rsid w:val="009F1EA2"/>
    <w:rsid w:val="009F397F"/>
    <w:rsid w:val="009F5B6B"/>
    <w:rsid w:val="00A0027D"/>
    <w:rsid w:val="00A004DE"/>
    <w:rsid w:val="00A05AFB"/>
    <w:rsid w:val="00A1032B"/>
    <w:rsid w:val="00A11F9A"/>
    <w:rsid w:val="00A1478D"/>
    <w:rsid w:val="00A207FF"/>
    <w:rsid w:val="00A2097B"/>
    <w:rsid w:val="00A22FAA"/>
    <w:rsid w:val="00A2522D"/>
    <w:rsid w:val="00A36A71"/>
    <w:rsid w:val="00A40F13"/>
    <w:rsid w:val="00A5626E"/>
    <w:rsid w:val="00A571AF"/>
    <w:rsid w:val="00A70274"/>
    <w:rsid w:val="00A71A72"/>
    <w:rsid w:val="00A763A9"/>
    <w:rsid w:val="00A82256"/>
    <w:rsid w:val="00A849E5"/>
    <w:rsid w:val="00A84D12"/>
    <w:rsid w:val="00A90686"/>
    <w:rsid w:val="00A938D5"/>
    <w:rsid w:val="00A948F3"/>
    <w:rsid w:val="00AA4503"/>
    <w:rsid w:val="00AB5155"/>
    <w:rsid w:val="00AB53A9"/>
    <w:rsid w:val="00AC368F"/>
    <w:rsid w:val="00AD1E8D"/>
    <w:rsid w:val="00AD6032"/>
    <w:rsid w:val="00AF0BB6"/>
    <w:rsid w:val="00B0275E"/>
    <w:rsid w:val="00B02815"/>
    <w:rsid w:val="00B079AB"/>
    <w:rsid w:val="00B100A3"/>
    <w:rsid w:val="00B103DE"/>
    <w:rsid w:val="00B11F72"/>
    <w:rsid w:val="00B127A2"/>
    <w:rsid w:val="00B13659"/>
    <w:rsid w:val="00B17204"/>
    <w:rsid w:val="00B273A3"/>
    <w:rsid w:val="00B27643"/>
    <w:rsid w:val="00B30745"/>
    <w:rsid w:val="00B32930"/>
    <w:rsid w:val="00B32B69"/>
    <w:rsid w:val="00B37A97"/>
    <w:rsid w:val="00B514A7"/>
    <w:rsid w:val="00B51710"/>
    <w:rsid w:val="00B52906"/>
    <w:rsid w:val="00B56E63"/>
    <w:rsid w:val="00B639D1"/>
    <w:rsid w:val="00B72507"/>
    <w:rsid w:val="00B72E41"/>
    <w:rsid w:val="00B7612C"/>
    <w:rsid w:val="00B87593"/>
    <w:rsid w:val="00B9354A"/>
    <w:rsid w:val="00B93CD4"/>
    <w:rsid w:val="00BA5608"/>
    <w:rsid w:val="00BB1087"/>
    <w:rsid w:val="00BB1CDF"/>
    <w:rsid w:val="00BB4B20"/>
    <w:rsid w:val="00BB56B5"/>
    <w:rsid w:val="00BB5FF0"/>
    <w:rsid w:val="00BC2743"/>
    <w:rsid w:val="00BC4F4E"/>
    <w:rsid w:val="00BC5729"/>
    <w:rsid w:val="00BC6C97"/>
    <w:rsid w:val="00BD12ED"/>
    <w:rsid w:val="00BE0F0E"/>
    <w:rsid w:val="00BE2F2C"/>
    <w:rsid w:val="00BF0426"/>
    <w:rsid w:val="00BF1699"/>
    <w:rsid w:val="00C02BEB"/>
    <w:rsid w:val="00C03F58"/>
    <w:rsid w:val="00C06C6D"/>
    <w:rsid w:val="00C06E5E"/>
    <w:rsid w:val="00C07981"/>
    <w:rsid w:val="00C1565E"/>
    <w:rsid w:val="00C2187E"/>
    <w:rsid w:val="00C24A76"/>
    <w:rsid w:val="00C2703A"/>
    <w:rsid w:val="00C31A09"/>
    <w:rsid w:val="00C31D3F"/>
    <w:rsid w:val="00C33C0C"/>
    <w:rsid w:val="00C451C4"/>
    <w:rsid w:val="00C502D1"/>
    <w:rsid w:val="00C66E7D"/>
    <w:rsid w:val="00C74A87"/>
    <w:rsid w:val="00C7510F"/>
    <w:rsid w:val="00C755DE"/>
    <w:rsid w:val="00C80B06"/>
    <w:rsid w:val="00C81388"/>
    <w:rsid w:val="00C82D83"/>
    <w:rsid w:val="00C840CC"/>
    <w:rsid w:val="00C87682"/>
    <w:rsid w:val="00C87917"/>
    <w:rsid w:val="00C90E60"/>
    <w:rsid w:val="00C94DCE"/>
    <w:rsid w:val="00C95A1F"/>
    <w:rsid w:val="00CA0826"/>
    <w:rsid w:val="00CA2E19"/>
    <w:rsid w:val="00CA3B77"/>
    <w:rsid w:val="00CB0846"/>
    <w:rsid w:val="00CB3829"/>
    <w:rsid w:val="00CB75EE"/>
    <w:rsid w:val="00CC32A1"/>
    <w:rsid w:val="00CC4936"/>
    <w:rsid w:val="00CD0B46"/>
    <w:rsid w:val="00D07B72"/>
    <w:rsid w:val="00D1033E"/>
    <w:rsid w:val="00D1773B"/>
    <w:rsid w:val="00D2250E"/>
    <w:rsid w:val="00D24F36"/>
    <w:rsid w:val="00D262B1"/>
    <w:rsid w:val="00D36848"/>
    <w:rsid w:val="00D4398E"/>
    <w:rsid w:val="00D51D78"/>
    <w:rsid w:val="00D5628E"/>
    <w:rsid w:val="00D56D80"/>
    <w:rsid w:val="00D727AB"/>
    <w:rsid w:val="00D756CB"/>
    <w:rsid w:val="00D8265A"/>
    <w:rsid w:val="00D84B88"/>
    <w:rsid w:val="00D878FA"/>
    <w:rsid w:val="00D95CA8"/>
    <w:rsid w:val="00DA04BF"/>
    <w:rsid w:val="00DA2116"/>
    <w:rsid w:val="00DA249B"/>
    <w:rsid w:val="00DA281E"/>
    <w:rsid w:val="00DA3634"/>
    <w:rsid w:val="00DA4D8D"/>
    <w:rsid w:val="00DB4E11"/>
    <w:rsid w:val="00DB653E"/>
    <w:rsid w:val="00DC4683"/>
    <w:rsid w:val="00DC48A2"/>
    <w:rsid w:val="00DD3230"/>
    <w:rsid w:val="00DD4113"/>
    <w:rsid w:val="00DD4C66"/>
    <w:rsid w:val="00DE0885"/>
    <w:rsid w:val="00DE15E2"/>
    <w:rsid w:val="00DE1A30"/>
    <w:rsid w:val="00DE3B06"/>
    <w:rsid w:val="00DE5237"/>
    <w:rsid w:val="00DF07A0"/>
    <w:rsid w:val="00DF4A32"/>
    <w:rsid w:val="00E00B89"/>
    <w:rsid w:val="00E02E12"/>
    <w:rsid w:val="00E02FC3"/>
    <w:rsid w:val="00E10E25"/>
    <w:rsid w:val="00E11096"/>
    <w:rsid w:val="00E15D2F"/>
    <w:rsid w:val="00E2010B"/>
    <w:rsid w:val="00E23803"/>
    <w:rsid w:val="00E26BD0"/>
    <w:rsid w:val="00E42819"/>
    <w:rsid w:val="00E45BD3"/>
    <w:rsid w:val="00E50051"/>
    <w:rsid w:val="00E541E5"/>
    <w:rsid w:val="00E5795E"/>
    <w:rsid w:val="00E607EE"/>
    <w:rsid w:val="00E632F2"/>
    <w:rsid w:val="00E65554"/>
    <w:rsid w:val="00E72767"/>
    <w:rsid w:val="00E75228"/>
    <w:rsid w:val="00E77A3C"/>
    <w:rsid w:val="00E84B3B"/>
    <w:rsid w:val="00E86303"/>
    <w:rsid w:val="00E9196D"/>
    <w:rsid w:val="00E94A9E"/>
    <w:rsid w:val="00E96951"/>
    <w:rsid w:val="00EA5BE2"/>
    <w:rsid w:val="00EB4B03"/>
    <w:rsid w:val="00EC1565"/>
    <w:rsid w:val="00EC1F66"/>
    <w:rsid w:val="00EC344E"/>
    <w:rsid w:val="00EC48B5"/>
    <w:rsid w:val="00EC5EEC"/>
    <w:rsid w:val="00ED040C"/>
    <w:rsid w:val="00ED0578"/>
    <w:rsid w:val="00ED4762"/>
    <w:rsid w:val="00EE03B1"/>
    <w:rsid w:val="00EE226E"/>
    <w:rsid w:val="00EE2F84"/>
    <w:rsid w:val="00EE6112"/>
    <w:rsid w:val="00EE7E1C"/>
    <w:rsid w:val="00EF0CC9"/>
    <w:rsid w:val="00EF2A7F"/>
    <w:rsid w:val="00EF3704"/>
    <w:rsid w:val="00F0283F"/>
    <w:rsid w:val="00F0411A"/>
    <w:rsid w:val="00F042AD"/>
    <w:rsid w:val="00F0430A"/>
    <w:rsid w:val="00F07071"/>
    <w:rsid w:val="00F14878"/>
    <w:rsid w:val="00F15277"/>
    <w:rsid w:val="00F17276"/>
    <w:rsid w:val="00F20F84"/>
    <w:rsid w:val="00F37ECE"/>
    <w:rsid w:val="00F41303"/>
    <w:rsid w:val="00F53408"/>
    <w:rsid w:val="00F5368C"/>
    <w:rsid w:val="00F55BE4"/>
    <w:rsid w:val="00F71458"/>
    <w:rsid w:val="00F722ED"/>
    <w:rsid w:val="00F7325F"/>
    <w:rsid w:val="00F75608"/>
    <w:rsid w:val="00F77D22"/>
    <w:rsid w:val="00F8251C"/>
    <w:rsid w:val="00F87DAB"/>
    <w:rsid w:val="00F9414C"/>
    <w:rsid w:val="00F94821"/>
    <w:rsid w:val="00FA02AE"/>
    <w:rsid w:val="00FA079D"/>
    <w:rsid w:val="00FA0FE8"/>
    <w:rsid w:val="00FA6292"/>
    <w:rsid w:val="00FB0358"/>
    <w:rsid w:val="00FB20CC"/>
    <w:rsid w:val="00FB296F"/>
    <w:rsid w:val="00FB395B"/>
    <w:rsid w:val="00FB3BB9"/>
    <w:rsid w:val="00FD288D"/>
    <w:rsid w:val="00FE1398"/>
    <w:rsid w:val="00FE2ABF"/>
    <w:rsid w:val="00FF26DA"/>
    <w:rsid w:val="00FF2BBB"/>
    <w:rsid w:val="00FF39C6"/>
    <w:rsid w:val="00FF6CE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ostalCode"/>
  <w:smartTagType w:namespaceuri="urn:schemas-microsoft-com:office:smarttags" w:name="place"/>
  <w:smartTagType w:namespaceuri="urn:schemas-microsoft-com:office:smarttags" w:name="State"/>
  <w:smartTagType w:namespaceuri="urn:schemas-microsoft-com:office:smarttags" w:name="Street"/>
  <w:shapeDefaults>
    <o:shapedefaults v:ext="edit" spidmax="70657"/>
    <o:shapelayout v:ext="edit">
      <o:idmap v:ext="edit" data="1"/>
      <o:rules v:ext="edit">
        <o:r id="V:Rule2" type="connector" idref="#_x0000_s102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A3634"/>
  </w:style>
  <w:style w:type="paragraph" w:styleId="Heading1">
    <w:name w:val="heading 1"/>
    <w:basedOn w:val="Normal"/>
    <w:next w:val="Normal"/>
    <w:qFormat/>
    <w:rsid w:val="00DA3634"/>
    <w:pPr>
      <w:keepNext/>
      <w:spacing w:after="120"/>
      <w:ind w:left="634"/>
      <w:outlineLvl w:val="0"/>
    </w:pPr>
    <w:rPr>
      <w:sz w:val="28"/>
    </w:rPr>
  </w:style>
  <w:style w:type="paragraph" w:styleId="Heading2">
    <w:name w:val="heading 2"/>
    <w:basedOn w:val="Normal"/>
    <w:next w:val="Normal"/>
    <w:qFormat/>
    <w:rsid w:val="00DA3634"/>
    <w:pPr>
      <w:keepNext/>
      <w:ind w:left="630"/>
      <w:outlineLvl w:val="1"/>
    </w:pPr>
    <w:rPr>
      <w:i/>
      <w:sz w:val="23"/>
    </w:rPr>
  </w:style>
  <w:style w:type="paragraph" w:styleId="Heading3">
    <w:name w:val="heading 3"/>
    <w:basedOn w:val="Normal"/>
    <w:next w:val="Normal"/>
    <w:qFormat/>
    <w:rsid w:val="00DA3634"/>
    <w:pPr>
      <w:keepNext/>
      <w:jc w:val="center"/>
      <w:outlineLvl w:val="2"/>
    </w:pPr>
    <w:rPr>
      <w:sz w:val="28"/>
    </w:rPr>
  </w:style>
  <w:style w:type="paragraph" w:styleId="Heading4">
    <w:name w:val="heading 4"/>
    <w:basedOn w:val="Normal"/>
    <w:next w:val="Normal"/>
    <w:qFormat/>
    <w:rsid w:val="00DA3634"/>
    <w:pPr>
      <w:keepNext/>
      <w:jc w:val="center"/>
      <w:outlineLvl w:val="3"/>
    </w:pPr>
    <w:rPr>
      <w:b/>
      <w:sz w:val="22"/>
    </w:rPr>
  </w:style>
  <w:style w:type="paragraph" w:styleId="Heading5">
    <w:name w:val="heading 5"/>
    <w:basedOn w:val="Normal"/>
    <w:next w:val="Normal"/>
    <w:qFormat/>
    <w:rsid w:val="00DA3634"/>
    <w:pPr>
      <w:keepNext/>
      <w:spacing w:after="120"/>
      <w:ind w:left="720"/>
      <w:outlineLvl w:val="4"/>
    </w:pPr>
    <w:rPr>
      <w:b/>
      <w:sz w:val="22"/>
    </w:rPr>
  </w:style>
  <w:style w:type="paragraph" w:styleId="Heading6">
    <w:name w:val="heading 6"/>
    <w:basedOn w:val="Normal"/>
    <w:next w:val="Normal"/>
    <w:qFormat/>
    <w:rsid w:val="00DA3634"/>
    <w:pPr>
      <w:keepNext/>
      <w:jc w:val="center"/>
      <w:outlineLvl w:val="5"/>
    </w:pPr>
    <w:rPr>
      <w:b/>
      <w:sz w:val="24"/>
    </w:rPr>
  </w:style>
  <w:style w:type="paragraph" w:styleId="Heading7">
    <w:name w:val="heading 7"/>
    <w:basedOn w:val="Normal"/>
    <w:next w:val="Normal"/>
    <w:qFormat/>
    <w:rsid w:val="00DA3634"/>
    <w:pPr>
      <w:keepNext/>
      <w:tabs>
        <w:tab w:val="right" w:pos="9648"/>
      </w:tabs>
      <w:spacing w:after="120" w:line="240" w:lineRule="exact"/>
      <w:ind w:left="630"/>
      <w:outlineLvl w:val="6"/>
    </w:pPr>
    <w:rPr>
      <w:b/>
      <w:sz w:val="22"/>
    </w:rPr>
  </w:style>
  <w:style w:type="paragraph" w:styleId="Heading8">
    <w:name w:val="heading 8"/>
    <w:basedOn w:val="Normal"/>
    <w:next w:val="Normal"/>
    <w:qFormat/>
    <w:rsid w:val="00DA3634"/>
    <w:pPr>
      <w:keepNext/>
      <w:spacing w:after="120"/>
      <w:outlineLvl w:val="7"/>
    </w:pPr>
    <w:rPr>
      <w:b/>
      <w:caps/>
      <w:sz w:val="22"/>
    </w:rPr>
  </w:style>
  <w:style w:type="paragraph" w:styleId="Heading9">
    <w:name w:val="heading 9"/>
    <w:basedOn w:val="Normal"/>
    <w:next w:val="Normal"/>
    <w:qFormat/>
    <w:rsid w:val="00DA3634"/>
    <w:pPr>
      <w:keepNext/>
      <w:spacing w:after="120"/>
      <w:ind w:left="360"/>
      <w:outlineLvl w:val="8"/>
    </w:pPr>
    <w:rPr>
      <w:sz w:val="22"/>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basedOn w:val="DefaultParagraphFont"/>
    <w:semiHidden/>
    <w:rsid w:val="00DA3634"/>
    <w:rPr>
      <w:vertAlign w:val="superscript"/>
    </w:rPr>
  </w:style>
  <w:style w:type="paragraph" w:styleId="Header">
    <w:name w:val="header"/>
    <w:basedOn w:val="Normal"/>
    <w:rsid w:val="00DA3634"/>
    <w:pPr>
      <w:tabs>
        <w:tab w:val="center" w:pos="4320"/>
        <w:tab w:val="right" w:pos="8640"/>
      </w:tabs>
    </w:pPr>
  </w:style>
  <w:style w:type="character" w:styleId="PageNumber">
    <w:name w:val="page number"/>
    <w:basedOn w:val="DefaultParagraphFont"/>
    <w:rsid w:val="00DA3634"/>
  </w:style>
  <w:style w:type="paragraph" w:styleId="Footer">
    <w:name w:val="footer"/>
    <w:basedOn w:val="Normal"/>
    <w:rsid w:val="00DA3634"/>
    <w:pPr>
      <w:tabs>
        <w:tab w:val="center" w:pos="4320"/>
        <w:tab w:val="right" w:pos="8640"/>
      </w:tabs>
    </w:pPr>
  </w:style>
  <w:style w:type="paragraph" w:styleId="BodyTextIndent">
    <w:name w:val="Body Text Indent"/>
    <w:basedOn w:val="Normal"/>
    <w:rsid w:val="00DA3634"/>
    <w:pPr>
      <w:spacing w:after="120"/>
      <w:ind w:left="634"/>
    </w:pPr>
    <w:rPr>
      <w:sz w:val="24"/>
    </w:rPr>
  </w:style>
  <w:style w:type="paragraph" w:styleId="BodyTextIndent2">
    <w:name w:val="Body Text Indent 2"/>
    <w:basedOn w:val="Normal"/>
    <w:rsid w:val="00DA3634"/>
    <w:pPr>
      <w:tabs>
        <w:tab w:val="left" w:pos="630"/>
      </w:tabs>
      <w:spacing w:after="120"/>
      <w:ind w:left="630"/>
    </w:pPr>
    <w:rPr>
      <w:sz w:val="24"/>
    </w:rPr>
  </w:style>
  <w:style w:type="paragraph" w:styleId="BodyTextIndent3">
    <w:name w:val="Body Text Indent 3"/>
    <w:basedOn w:val="Normal"/>
    <w:rsid w:val="00DA3634"/>
    <w:pPr>
      <w:spacing w:before="240" w:after="120"/>
      <w:ind w:left="634"/>
      <w:jc w:val="center"/>
    </w:pPr>
    <w:rPr>
      <w:caps/>
      <w:sz w:val="24"/>
    </w:rPr>
  </w:style>
  <w:style w:type="paragraph" w:styleId="BodyText2">
    <w:name w:val="Body Text 2"/>
    <w:basedOn w:val="Normal"/>
    <w:rsid w:val="00DA3634"/>
    <w:pPr>
      <w:numPr>
        <w:ilvl w:val="12"/>
      </w:numPr>
      <w:spacing w:after="120"/>
      <w:jc w:val="both"/>
    </w:pPr>
    <w:rPr>
      <w:sz w:val="22"/>
    </w:rPr>
  </w:style>
  <w:style w:type="paragraph" w:styleId="Title">
    <w:name w:val="Title"/>
    <w:basedOn w:val="Normal"/>
    <w:qFormat/>
    <w:rsid w:val="00DA3634"/>
    <w:pPr>
      <w:jc w:val="center"/>
    </w:pPr>
    <w:rPr>
      <w:b/>
      <w:sz w:val="24"/>
    </w:rPr>
  </w:style>
  <w:style w:type="paragraph" w:styleId="BodyText">
    <w:name w:val="Body Text"/>
    <w:aliases w:val="SCA Body Text,SCA Body Text1,SCA Body Text2,SCA Body Text11,BodyText-JEA,BT-JEA"/>
    <w:basedOn w:val="Normal"/>
    <w:rsid w:val="00DA3634"/>
    <w:pPr>
      <w:spacing w:after="120"/>
    </w:pPr>
    <w:rPr>
      <w:sz w:val="24"/>
    </w:rPr>
  </w:style>
  <w:style w:type="paragraph" w:styleId="BodyText3">
    <w:name w:val="Body Text 3"/>
    <w:basedOn w:val="Normal"/>
    <w:rsid w:val="00DA3634"/>
    <w:pPr>
      <w:spacing w:before="120" w:after="120"/>
    </w:pPr>
    <w:rPr>
      <w:sz w:val="22"/>
    </w:rPr>
  </w:style>
  <w:style w:type="paragraph" w:customStyle="1" w:styleId="Style4">
    <w:name w:val="Style4"/>
    <w:next w:val="Normal"/>
    <w:rsid w:val="00DA3634"/>
    <w:rPr>
      <w:noProof/>
      <w:sz w:val="24"/>
    </w:rPr>
  </w:style>
  <w:style w:type="paragraph" w:styleId="BlockText">
    <w:name w:val="Block Text"/>
    <w:basedOn w:val="Normal"/>
    <w:rsid w:val="00DA3634"/>
    <w:pPr>
      <w:spacing w:after="120"/>
      <w:ind w:left="720" w:right="43"/>
      <w:jc w:val="both"/>
    </w:pPr>
    <w:rPr>
      <w:sz w:val="22"/>
    </w:rPr>
  </w:style>
  <w:style w:type="character" w:styleId="Hyperlink">
    <w:name w:val="Hyperlink"/>
    <w:basedOn w:val="DefaultParagraphFont"/>
    <w:rsid w:val="00DA3634"/>
    <w:rPr>
      <w:color w:val="0000FF"/>
      <w:u w:val="single"/>
    </w:rPr>
  </w:style>
  <w:style w:type="paragraph" w:customStyle="1" w:styleId="SCATableHeading">
    <w:name w:val="SCA Table Heading"/>
    <w:basedOn w:val="Normal"/>
    <w:rsid w:val="00DA3634"/>
    <w:pPr>
      <w:jc w:val="center"/>
    </w:pPr>
    <w:rPr>
      <w:b/>
      <w:caps/>
    </w:rPr>
  </w:style>
  <w:style w:type="paragraph" w:customStyle="1" w:styleId="Default">
    <w:name w:val="Default"/>
    <w:rsid w:val="002A28C2"/>
    <w:pPr>
      <w:autoSpaceDE w:val="0"/>
      <w:autoSpaceDN w:val="0"/>
      <w:adjustRightInd w:val="0"/>
    </w:pPr>
    <w:rPr>
      <w:color w:val="000000"/>
      <w:sz w:val="24"/>
      <w:szCs w:val="24"/>
    </w:rPr>
  </w:style>
  <w:style w:type="table" w:styleId="TableGrid">
    <w:name w:val="Table Grid"/>
    <w:basedOn w:val="TableNormal"/>
    <w:uiPriority w:val="59"/>
    <w:rsid w:val="00D84B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C33C0C"/>
    <w:pPr>
      <w:spacing w:before="100" w:beforeAutospacing="1" w:after="100" w:afterAutospacing="1"/>
    </w:pPr>
    <w:rPr>
      <w:sz w:val="24"/>
      <w:szCs w:val="24"/>
    </w:rPr>
  </w:style>
  <w:style w:type="paragraph" w:styleId="BalloonText">
    <w:name w:val="Balloon Text"/>
    <w:basedOn w:val="Normal"/>
    <w:link w:val="BalloonTextChar"/>
    <w:uiPriority w:val="99"/>
    <w:rsid w:val="00A71A72"/>
    <w:rPr>
      <w:rFonts w:ascii="Tahoma" w:hAnsi="Tahoma" w:cs="Tahoma"/>
      <w:sz w:val="16"/>
      <w:szCs w:val="16"/>
    </w:rPr>
  </w:style>
  <w:style w:type="character" w:customStyle="1" w:styleId="BalloonTextChar">
    <w:name w:val="Balloon Text Char"/>
    <w:basedOn w:val="DefaultParagraphFont"/>
    <w:link w:val="BalloonText"/>
    <w:uiPriority w:val="99"/>
    <w:rsid w:val="00A71A72"/>
    <w:rPr>
      <w:rFonts w:ascii="Tahoma" w:hAnsi="Tahoma" w:cs="Tahoma"/>
      <w:sz w:val="16"/>
      <w:szCs w:val="16"/>
    </w:rPr>
  </w:style>
  <w:style w:type="character" w:styleId="FollowedHyperlink">
    <w:name w:val="FollowedHyperlink"/>
    <w:basedOn w:val="DefaultParagraphFont"/>
    <w:rsid w:val="00986E18"/>
    <w:rPr>
      <w:color w:val="800080"/>
      <w:u w:val="single"/>
    </w:rPr>
  </w:style>
  <w:style w:type="paragraph" w:styleId="ListParagraph">
    <w:name w:val="List Paragraph"/>
    <w:basedOn w:val="Normal"/>
    <w:uiPriority w:val="34"/>
    <w:qFormat/>
    <w:rsid w:val="00163F4C"/>
    <w:pPr>
      <w:spacing w:after="200" w:line="276" w:lineRule="auto"/>
      <w:ind w:left="720"/>
      <w:contextualSpacing/>
    </w:pPr>
    <w:rPr>
      <w:rFonts w:asciiTheme="minorHAnsi" w:eastAsiaTheme="minorHAnsi" w:hAnsiTheme="minorHAnsi" w:cstheme="minorBidi"/>
      <w:sz w:val="22"/>
      <w:szCs w:val="22"/>
    </w:rPr>
  </w:style>
  <w:style w:type="paragraph" w:styleId="Caption">
    <w:name w:val="caption"/>
    <w:basedOn w:val="Normal"/>
    <w:next w:val="Normal"/>
    <w:qFormat/>
    <w:rsid w:val="00D8265A"/>
    <w:pPr>
      <w:spacing w:before="360" w:after="120"/>
    </w:pPr>
    <w:rPr>
      <w:b/>
      <w:caps/>
      <w:sz w:val="22"/>
    </w:rPr>
  </w:style>
  <w:style w:type="paragraph" w:styleId="FootnoteText">
    <w:name w:val="footnote text"/>
    <w:basedOn w:val="Normal"/>
    <w:link w:val="FootnoteTextChar"/>
    <w:rsid w:val="00AD6032"/>
  </w:style>
  <w:style w:type="character" w:customStyle="1" w:styleId="FootnoteTextChar">
    <w:name w:val="Footnote Text Char"/>
    <w:basedOn w:val="DefaultParagraphFont"/>
    <w:link w:val="FootnoteText"/>
    <w:rsid w:val="00AD6032"/>
  </w:style>
  <w:style w:type="character" w:styleId="FootnoteReference">
    <w:name w:val="footnote reference"/>
    <w:basedOn w:val="DefaultParagraphFont"/>
    <w:rsid w:val="00AD6032"/>
    <w:rPr>
      <w:vertAlign w:val="superscript"/>
    </w:rPr>
  </w:style>
</w:styles>
</file>

<file path=word/webSettings.xml><?xml version="1.0" encoding="utf-8"?>
<w:webSettings xmlns:r="http://schemas.openxmlformats.org/officeDocument/2006/relationships" xmlns:w="http://schemas.openxmlformats.org/wordprocessingml/2006/main">
  <w:divs>
    <w:div w:id="198787766">
      <w:bodyDiv w:val="1"/>
      <w:marLeft w:val="0"/>
      <w:marRight w:val="0"/>
      <w:marTop w:val="0"/>
      <w:marBottom w:val="0"/>
      <w:divBdr>
        <w:top w:val="none" w:sz="0" w:space="0" w:color="auto"/>
        <w:left w:val="none" w:sz="0" w:space="0" w:color="auto"/>
        <w:bottom w:val="none" w:sz="0" w:space="0" w:color="auto"/>
        <w:right w:val="none" w:sz="0" w:space="0" w:color="auto"/>
      </w:divBdr>
      <w:divsChild>
        <w:div w:id="793332658">
          <w:marLeft w:val="0"/>
          <w:marRight w:val="0"/>
          <w:marTop w:val="0"/>
          <w:marBottom w:val="0"/>
          <w:divBdr>
            <w:top w:val="none" w:sz="0" w:space="0" w:color="auto"/>
            <w:left w:val="none" w:sz="0" w:space="0" w:color="auto"/>
            <w:bottom w:val="none" w:sz="0" w:space="0" w:color="auto"/>
            <w:right w:val="none" w:sz="0" w:space="0" w:color="auto"/>
          </w:divBdr>
          <w:divsChild>
            <w:div w:id="217861867">
              <w:marLeft w:val="0"/>
              <w:marRight w:val="0"/>
              <w:marTop w:val="0"/>
              <w:marBottom w:val="0"/>
              <w:divBdr>
                <w:top w:val="none" w:sz="0" w:space="0" w:color="auto"/>
                <w:left w:val="none" w:sz="0" w:space="0" w:color="auto"/>
                <w:bottom w:val="none" w:sz="0" w:space="0" w:color="auto"/>
                <w:right w:val="none" w:sz="0" w:space="0" w:color="auto"/>
              </w:divBdr>
              <w:divsChild>
                <w:div w:id="1979218549">
                  <w:marLeft w:val="0"/>
                  <w:marRight w:val="0"/>
                  <w:marTop w:val="0"/>
                  <w:marBottom w:val="0"/>
                  <w:divBdr>
                    <w:top w:val="none" w:sz="0" w:space="0" w:color="auto"/>
                    <w:left w:val="none" w:sz="0" w:space="0" w:color="auto"/>
                    <w:bottom w:val="none" w:sz="0" w:space="0" w:color="auto"/>
                    <w:right w:val="none" w:sz="0" w:space="0" w:color="auto"/>
                  </w:divBdr>
                  <w:divsChild>
                    <w:div w:id="700322130">
                      <w:marLeft w:val="0"/>
                      <w:marRight w:val="0"/>
                      <w:marTop w:val="0"/>
                      <w:marBottom w:val="0"/>
                      <w:divBdr>
                        <w:top w:val="none" w:sz="0" w:space="0" w:color="auto"/>
                        <w:left w:val="none" w:sz="0" w:space="0" w:color="auto"/>
                        <w:bottom w:val="none" w:sz="0" w:space="0" w:color="auto"/>
                        <w:right w:val="none" w:sz="0" w:space="0" w:color="auto"/>
                      </w:divBdr>
                      <w:divsChild>
                        <w:div w:id="1949462173">
                          <w:marLeft w:val="0"/>
                          <w:marRight w:val="0"/>
                          <w:marTop w:val="0"/>
                          <w:marBottom w:val="0"/>
                          <w:divBdr>
                            <w:top w:val="none" w:sz="0" w:space="0" w:color="auto"/>
                            <w:left w:val="none" w:sz="0" w:space="0" w:color="auto"/>
                            <w:bottom w:val="none" w:sz="0" w:space="0" w:color="auto"/>
                            <w:right w:val="none" w:sz="0" w:space="0" w:color="auto"/>
                          </w:divBdr>
                          <w:divsChild>
                            <w:div w:id="386998451">
                              <w:marLeft w:val="0"/>
                              <w:marRight w:val="0"/>
                              <w:marTop w:val="0"/>
                              <w:marBottom w:val="0"/>
                              <w:divBdr>
                                <w:top w:val="none" w:sz="0" w:space="0" w:color="auto"/>
                                <w:left w:val="none" w:sz="0" w:space="0" w:color="auto"/>
                                <w:bottom w:val="none" w:sz="0" w:space="0" w:color="auto"/>
                                <w:right w:val="none" w:sz="0" w:space="0" w:color="auto"/>
                              </w:divBdr>
                              <w:divsChild>
                                <w:div w:id="1312563857">
                                  <w:marLeft w:val="0"/>
                                  <w:marRight w:val="0"/>
                                  <w:marTop w:val="0"/>
                                  <w:marBottom w:val="0"/>
                                  <w:divBdr>
                                    <w:top w:val="none" w:sz="0" w:space="0" w:color="auto"/>
                                    <w:left w:val="none" w:sz="0" w:space="0" w:color="auto"/>
                                    <w:bottom w:val="none" w:sz="0" w:space="0" w:color="auto"/>
                                    <w:right w:val="none" w:sz="0" w:space="0" w:color="auto"/>
                                  </w:divBdr>
                                  <w:divsChild>
                                    <w:div w:id="526869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arm-permit2k.dep.state.fl.us/psd/1050233/0000638B.pdf"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dep.state.fl.us/air/rules/fac/62-210.pdf"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_rels/footnotes.xml.rels><?xml version="1.0" encoding="UTF-8" standalone="yes"?>
<Relationships xmlns="http://schemas.openxmlformats.org/package/2006/relationships"><Relationship Id="rId1" Type="http://schemas.openxmlformats.org/officeDocument/2006/relationships/hyperlink" Target="http://hydrogen.pnl.gov/cocoon/morf/hydrogen/site_specific/fuel_heating_calculator?canprint=fals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5CFAA4-09B5-4C20-8D19-F4654C209A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1048</TotalTime>
  <Pages>13</Pages>
  <Words>6634</Words>
  <Characters>34718</Characters>
  <Application>Microsoft Office Word</Application>
  <DocSecurity>0</DocSecurity>
  <Lines>289</Lines>
  <Paragraphs>82</Paragraphs>
  <ScaleCrop>false</ScaleCrop>
  <HeadingPairs>
    <vt:vector size="2" baseType="variant">
      <vt:variant>
        <vt:lpstr>Title</vt:lpstr>
      </vt:variant>
      <vt:variant>
        <vt:i4>1</vt:i4>
      </vt:variant>
    </vt:vector>
  </HeadingPairs>
  <TitlesOfParts>
    <vt:vector size="1" baseType="lpstr">
      <vt:lpstr>Technical Evaluation &amp; Preliminary Determination</vt:lpstr>
    </vt:vector>
  </TitlesOfParts>
  <Manager>Trina Vielhauer</Manager>
  <Company>FDEP/DARM/BAR</Company>
  <LinksUpToDate>false</LinksUpToDate>
  <CharactersWithSpaces>41270</CharactersWithSpaces>
  <SharedDoc>false</SharedDoc>
  <HLinks>
    <vt:vector size="24" baseType="variant">
      <vt:variant>
        <vt:i4>262220</vt:i4>
      </vt:variant>
      <vt:variant>
        <vt:i4>9</vt:i4>
      </vt:variant>
      <vt:variant>
        <vt:i4>0</vt:i4>
      </vt:variant>
      <vt:variant>
        <vt:i4>5</vt:i4>
      </vt:variant>
      <vt:variant>
        <vt:lpwstr>http://arm-permit2k.dep.state.fl.us/psd/1050233/0000638B.pdf</vt:lpwstr>
      </vt:variant>
      <vt:variant>
        <vt:lpwstr/>
      </vt:variant>
      <vt:variant>
        <vt:i4>2424938</vt:i4>
      </vt:variant>
      <vt:variant>
        <vt:i4>6</vt:i4>
      </vt:variant>
      <vt:variant>
        <vt:i4>0</vt:i4>
      </vt:variant>
      <vt:variant>
        <vt:i4>5</vt:i4>
      </vt:variant>
      <vt:variant>
        <vt:lpwstr>http://www.rti.org/page.cfm?obj=278DDE67-5056-B100-31A62FC32B088667</vt:lpwstr>
      </vt:variant>
      <vt:variant>
        <vt:lpwstr/>
      </vt:variant>
      <vt:variant>
        <vt:i4>393246</vt:i4>
      </vt:variant>
      <vt:variant>
        <vt:i4>3</vt:i4>
      </vt:variant>
      <vt:variant>
        <vt:i4>0</vt:i4>
      </vt:variant>
      <vt:variant>
        <vt:i4>5</vt:i4>
      </vt:variant>
      <vt:variant>
        <vt:lpwstr>http://www.dep.state.fl.us/air/rules/regulatory/pm2p5_non_nsr.htm</vt:lpwstr>
      </vt:variant>
      <vt:variant>
        <vt:lpwstr/>
      </vt:variant>
      <vt:variant>
        <vt:i4>6815860</vt:i4>
      </vt:variant>
      <vt:variant>
        <vt:i4>0</vt:i4>
      </vt:variant>
      <vt:variant>
        <vt:i4>0</vt:i4>
      </vt:variant>
      <vt:variant>
        <vt:i4>5</vt:i4>
      </vt:variant>
      <vt:variant>
        <vt:lpwstr>http://www.dep.state.fl.us/air/rules/fac/62-210.pdf</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Technical Evaluation &amp; Preliminary Determination</dc:title>
  <dc:subject>Draft Permit</dc:subject>
  <dc:creator>Jeff Koerner</dc:creator>
  <cp:keywords/>
  <dc:description/>
  <cp:lastModifiedBy>koerner_j</cp:lastModifiedBy>
  <cp:revision>61</cp:revision>
  <cp:lastPrinted>2011-10-26T21:42:00Z</cp:lastPrinted>
  <dcterms:created xsi:type="dcterms:W3CDTF">2012-07-24T11:30:00Z</dcterms:created>
  <dcterms:modified xsi:type="dcterms:W3CDTF">2012-09-27T19:21:00Z</dcterms:modified>
</cp:coreProperties>
</file>